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A4AC2" w14:textId="77777777" w:rsidR="00410798" w:rsidRPr="00BD342D" w:rsidRDefault="00410798" w:rsidP="00410798">
      <w:bookmarkStart w:id="0" w:name="_Toc294697361"/>
    </w:p>
    <w:p w14:paraId="7D32B164" w14:textId="77777777" w:rsidR="00410798" w:rsidRPr="00BD342D" w:rsidRDefault="00410798" w:rsidP="00410798">
      <w:bookmarkStart w:id="1" w:name="_Hlk27388172"/>
    </w:p>
    <w:p w14:paraId="1CCC3D05" w14:textId="77777777" w:rsidR="00410798" w:rsidRPr="00BD342D" w:rsidRDefault="00410798" w:rsidP="00410798"/>
    <w:p w14:paraId="624DADAC" w14:textId="77777777" w:rsidR="00410798" w:rsidRPr="00BD342D" w:rsidRDefault="00410798" w:rsidP="00410798"/>
    <w:p w14:paraId="590C9CEA" w14:textId="77777777" w:rsidR="00410798" w:rsidRPr="00BD342D" w:rsidRDefault="00410798" w:rsidP="00410798"/>
    <w:p w14:paraId="53EC9965" w14:textId="77777777" w:rsidR="00410798" w:rsidRPr="00BD342D" w:rsidRDefault="00410798" w:rsidP="00410798"/>
    <w:p w14:paraId="36C5901C" w14:textId="77777777" w:rsidR="00410798" w:rsidRPr="00BD342D" w:rsidRDefault="00410798" w:rsidP="00410798"/>
    <w:p w14:paraId="54364289" w14:textId="77777777" w:rsidR="00410798" w:rsidRPr="00BD342D" w:rsidRDefault="00410798" w:rsidP="00410798">
      <w:pPr>
        <w:jc w:val="center"/>
        <w:rPr>
          <w:rStyle w:val="Nzevknihy"/>
          <w:smallCaps w:val="0"/>
        </w:rPr>
      </w:pPr>
      <w:r w:rsidRPr="00BD342D">
        <w:rPr>
          <w:b/>
          <w:bCs/>
          <w:noProof/>
          <w:spacing w:val="5"/>
          <w:sz w:val="32"/>
          <w:lang w:eastAsia="cs-CZ"/>
        </w:rPr>
        <w:drawing>
          <wp:inline distT="0" distB="0" distL="0" distR="0" wp14:anchorId="356301BD" wp14:editId="32469005">
            <wp:extent cx="2822366" cy="72726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45888" cy="784862"/>
                    </a:xfrm>
                    <a:prstGeom prst="rect">
                      <a:avLst/>
                    </a:prstGeom>
                    <a:noFill/>
                    <a:ln w="9525">
                      <a:noFill/>
                      <a:miter lim="800000"/>
                      <a:headEnd/>
                      <a:tailEnd/>
                    </a:ln>
                  </pic:spPr>
                </pic:pic>
              </a:graphicData>
            </a:graphic>
          </wp:inline>
        </w:drawing>
      </w:r>
    </w:p>
    <w:p w14:paraId="40A35CBC" w14:textId="77777777" w:rsidR="00410798" w:rsidRPr="00E25C97" w:rsidRDefault="00410798" w:rsidP="00410798">
      <w:pPr>
        <w:jc w:val="center"/>
        <w:rPr>
          <w:rStyle w:val="Nzevknihy"/>
          <w:rFonts w:cs="Arial"/>
          <w:smallCaps w:val="0"/>
          <w:sz w:val="18"/>
          <w:szCs w:val="18"/>
        </w:rPr>
      </w:pPr>
      <w:r w:rsidRPr="00E25C97">
        <w:rPr>
          <w:rStyle w:val="Nzevknihy"/>
          <w:smallCaps w:val="0"/>
          <w:sz w:val="18"/>
          <w:szCs w:val="18"/>
        </w:rPr>
        <w:t xml:space="preserve">SAKO Brno, </w:t>
      </w:r>
      <w:r w:rsidRPr="00E25C97">
        <w:rPr>
          <w:rStyle w:val="Nzevknihy"/>
          <w:rFonts w:cs="Arial"/>
          <w:smallCaps w:val="0"/>
          <w:sz w:val="18"/>
          <w:szCs w:val="18"/>
        </w:rPr>
        <w:t>a.s., Jedovnická 4247/2, 628 00 Brno</w:t>
      </w:r>
    </w:p>
    <w:p w14:paraId="56295F67" w14:textId="77777777" w:rsidR="00410798" w:rsidRPr="00BD342D" w:rsidRDefault="00410798" w:rsidP="00410798">
      <w:pPr>
        <w:jc w:val="center"/>
        <w:rPr>
          <w:rStyle w:val="Nzevknihy"/>
          <w:smallCaps w:val="0"/>
        </w:rPr>
      </w:pPr>
    </w:p>
    <w:p w14:paraId="0C3DDAB9" w14:textId="77777777" w:rsidR="00410798" w:rsidRDefault="00410798" w:rsidP="00410798">
      <w:pPr>
        <w:rPr>
          <w:rStyle w:val="Nzevknihy"/>
          <w:smallCaps w:val="0"/>
        </w:rPr>
      </w:pPr>
    </w:p>
    <w:p w14:paraId="3BFC98B0" w14:textId="77777777" w:rsidR="00410798" w:rsidRPr="00BD342D" w:rsidRDefault="00410798" w:rsidP="00410798">
      <w:pPr>
        <w:rPr>
          <w:rStyle w:val="Nzevknihy"/>
          <w:smallCaps w:val="0"/>
        </w:rPr>
      </w:pPr>
    </w:p>
    <w:p w14:paraId="647A7B97" w14:textId="77777777" w:rsidR="00410798" w:rsidRPr="00BD342D" w:rsidRDefault="00410798" w:rsidP="00410798">
      <w:pPr>
        <w:rPr>
          <w:rStyle w:val="Nzevknihy"/>
          <w:smallCaps w:val="0"/>
        </w:rPr>
      </w:pPr>
    </w:p>
    <w:p w14:paraId="49E44006" w14:textId="77777777" w:rsidR="00410798" w:rsidRPr="0090592C" w:rsidRDefault="00410798" w:rsidP="00410798">
      <w:pPr>
        <w:jc w:val="center"/>
        <w:rPr>
          <w:rStyle w:val="Nzevknihy"/>
          <w:smallCaps w:val="0"/>
          <w:szCs w:val="32"/>
        </w:rPr>
      </w:pPr>
      <w:r w:rsidRPr="0090592C">
        <w:rPr>
          <w:rStyle w:val="Nzevknihy"/>
          <w:smallCaps w:val="0"/>
          <w:szCs w:val="32"/>
        </w:rPr>
        <w:t>ODPADOVÉ HOSPODÁŘSTVÍ BRNO II – LINKA K1</w:t>
      </w:r>
    </w:p>
    <w:p w14:paraId="5478FCCC" w14:textId="77777777" w:rsidR="00410798" w:rsidRPr="0090592C" w:rsidRDefault="00410798" w:rsidP="00410798">
      <w:pPr>
        <w:pStyle w:val="Raztkonormln"/>
        <w:rPr>
          <w:rStyle w:val="Nzevknihy"/>
          <w:smallCaps w:val="0"/>
          <w:szCs w:val="32"/>
        </w:rPr>
      </w:pPr>
    </w:p>
    <w:p w14:paraId="4086F70D" w14:textId="77777777" w:rsidR="00410798" w:rsidRPr="0090592C" w:rsidRDefault="00410798" w:rsidP="00410798">
      <w:pPr>
        <w:rPr>
          <w:sz w:val="32"/>
          <w:szCs w:val="32"/>
        </w:rPr>
      </w:pPr>
    </w:p>
    <w:p w14:paraId="14C07881" w14:textId="77777777" w:rsidR="00410798" w:rsidRPr="00D5299D" w:rsidRDefault="00410798" w:rsidP="00410798">
      <w:pPr>
        <w:jc w:val="center"/>
        <w:rPr>
          <w:b/>
          <w:bCs/>
          <w:sz w:val="28"/>
          <w:szCs w:val="28"/>
        </w:rPr>
      </w:pPr>
      <w:r w:rsidRPr="00D5299D">
        <w:rPr>
          <w:b/>
          <w:bCs/>
          <w:sz w:val="28"/>
          <w:szCs w:val="28"/>
        </w:rPr>
        <w:t xml:space="preserve">DOKUMENTACE </w:t>
      </w:r>
      <w:r w:rsidR="00B731DC">
        <w:rPr>
          <w:b/>
          <w:bCs/>
          <w:sz w:val="28"/>
          <w:szCs w:val="28"/>
        </w:rPr>
        <w:t>BOURACÍCH PRACÍ</w:t>
      </w:r>
      <w:r w:rsidRPr="00D5299D">
        <w:rPr>
          <w:b/>
          <w:bCs/>
          <w:sz w:val="28"/>
          <w:szCs w:val="28"/>
        </w:rPr>
        <w:t xml:space="preserve"> (D</w:t>
      </w:r>
      <w:r w:rsidR="00D113CE">
        <w:rPr>
          <w:b/>
          <w:bCs/>
          <w:sz w:val="28"/>
          <w:szCs w:val="28"/>
        </w:rPr>
        <w:t>BP</w:t>
      </w:r>
      <w:r w:rsidRPr="00D5299D">
        <w:rPr>
          <w:b/>
          <w:bCs/>
          <w:sz w:val="28"/>
          <w:szCs w:val="28"/>
        </w:rPr>
        <w:t>)</w:t>
      </w:r>
    </w:p>
    <w:p w14:paraId="36DBAAFB" w14:textId="77777777" w:rsidR="00410798" w:rsidRPr="0090592C" w:rsidRDefault="00410798" w:rsidP="00410798">
      <w:pPr>
        <w:rPr>
          <w:b/>
          <w:bCs/>
          <w:sz w:val="32"/>
          <w:szCs w:val="32"/>
        </w:rPr>
      </w:pPr>
    </w:p>
    <w:p w14:paraId="243B28EA" w14:textId="77777777" w:rsidR="00410798" w:rsidRPr="0090592C" w:rsidRDefault="00410798" w:rsidP="00410798">
      <w:pPr>
        <w:tabs>
          <w:tab w:val="left" w:pos="7545"/>
        </w:tabs>
        <w:spacing w:after="0"/>
        <w:rPr>
          <w:b/>
          <w:bCs/>
          <w:sz w:val="32"/>
          <w:szCs w:val="32"/>
        </w:rPr>
      </w:pPr>
    </w:p>
    <w:p w14:paraId="0DC4D218" w14:textId="77777777" w:rsidR="00F4526E" w:rsidRPr="00C13BBE" w:rsidRDefault="00F4526E" w:rsidP="00410798">
      <w:pPr>
        <w:tabs>
          <w:tab w:val="left" w:pos="7545"/>
        </w:tabs>
        <w:spacing w:after="0"/>
        <w:rPr>
          <w:rFonts w:ascii="Arial Black" w:hAnsi="Arial Black"/>
          <w:b/>
          <w:bCs/>
          <w:sz w:val="32"/>
          <w:szCs w:val="32"/>
        </w:rPr>
      </w:pPr>
    </w:p>
    <w:p w14:paraId="52BCAD1F" w14:textId="77777777" w:rsidR="00410798" w:rsidRDefault="00410798" w:rsidP="00410798">
      <w:pPr>
        <w:pStyle w:val="Nadpistitulka"/>
        <w:rPr>
          <w:rFonts w:ascii="Arial" w:hAnsi="Arial" w:cs="Arial"/>
          <w:sz w:val="32"/>
          <w:szCs w:val="32"/>
        </w:rPr>
      </w:pPr>
    </w:p>
    <w:bookmarkEnd w:id="1"/>
    <w:p w14:paraId="2B4A6644" w14:textId="77777777" w:rsidR="00410798" w:rsidRPr="00BD342D" w:rsidRDefault="00410798" w:rsidP="00410798">
      <w:pPr>
        <w:tabs>
          <w:tab w:val="left" w:pos="7545"/>
        </w:tabs>
        <w:spacing w:after="0"/>
      </w:pPr>
    </w:p>
    <w:p w14:paraId="6041F6AC" w14:textId="77777777" w:rsidR="00410798" w:rsidRDefault="00EC01A4" w:rsidP="00410798">
      <w:pPr>
        <w:pStyle w:val="Nadpistitulka"/>
        <w:rPr>
          <w:rFonts w:ascii="Arial" w:hAnsi="Arial" w:cs="Arial"/>
        </w:rPr>
      </w:pPr>
      <w:r>
        <w:rPr>
          <w:rFonts w:ascii="Arial" w:hAnsi="Arial" w:cs="Arial"/>
        </w:rPr>
        <w:t>B</w:t>
      </w:r>
      <w:r w:rsidR="00410798" w:rsidRPr="00414D63">
        <w:rPr>
          <w:rFonts w:ascii="Arial" w:hAnsi="Arial" w:cs="Arial"/>
        </w:rPr>
        <w:t xml:space="preserve">. </w:t>
      </w:r>
      <w:r>
        <w:rPr>
          <w:rFonts w:ascii="Arial" w:hAnsi="Arial" w:cs="Arial"/>
        </w:rPr>
        <w:t>Souhrnná technická</w:t>
      </w:r>
      <w:r w:rsidR="00410798" w:rsidRPr="00414D63">
        <w:rPr>
          <w:rFonts w:ascii="Arial" w:hAnsi="Arial" w:cs="Arial"/>
        </w:rPr>
        <w:t xml:space="preserve"> zpráva </w:t>
      </w:r>
    </w:p>
    <w:p w14:paraId="5DA1189F" w14:textId="3092D607" w:rsidR="00B13461" w:rsidRPr="00C13BBE" w:rsidRDefault="00C13BBE" w:rsidP="00B13461">
      <w:pPr>
        <w:tabs>
          <w:tab w:val="left" w:pos="7545"/>
        </w:tabs>
        <w:spacing w:after="0"/>
        <w:rPr>
          <w:sz w:val="72"/>
          <w:szCs w:val="72"/>
        </w:rPr>
      </w:pPr>
      <w:r>
        <w:tab/>
      </w:r>
      <w:r>
        <w:tab/>
      </w:r>
    </w:p>
    <w:p w14:paraId="083A7A6F" w14:textId="77777777" w:rsidR="00B13461" w:rsidRPr="00BD342D" w:rsidRDefault="00B13461" w:rsidP="00B13461">
      <w:pPr>
        <w:tabs>
          <w:tab w:val="left" w:pos="7545"/>
        </w:tabs>
        <w:spacing w:after="0"/>
      </w:pPr>
    </w:p>
    <w:p w14:paraId="4677B2AA" w14:textId="77777777" w:rsidR="00B13461" w:rsidRPr="006254AB" w:rsidRDefault="00B13461" w:rsidP="00B13461">
      <w:pPr>
        <w:pStyle w:val="Podnadpis"/>
        <w:ind w:firstLine="0"/>
        <w:rPr>
          <w:caps/>
          <w:sz w:val="28"/>
          <w:szCs w:val="28"/>
        </w:rPr>
      </w:pPr>
      <w:r w:rsidRPr="006254AB">
        <w:rPr>
          <w:caps/>
          <w:sz w:val="28"/>
          <w:szCs w:val="28"/>
        </w:rPr>
        <w:t>Seznam revizí a schvalovací list revizí</w:t>
      </w:r>
    </w:p>
    <w:p w14:paraId="790E0264" w14:textId="77777777" w:rsidR="00B13461" w:rsidRPr="00F82C8F" w:rsidRDefault="00B13461" w:rsidP="00B13461">
      <w:pPr>
        <w:pStyle w:val="Podnadpis"/>
        <w:spacing w:line="240" w:lineRule="auto"/>
        <w:ind w:firstLine="0"/>
        <w:rPr>
          <w:b w:val="0"/>
          <w:caps/>
        </w:rPr>
      </w:pPr>
      <w:r w:rsidRPr="00F82C8F">
        <w:rPr>
          <w:b w:val="0"/>
          <w:caps/>
        </w:rPr>
        <w:t>Seznam revizí</w:t>
      </w:r>
    </w:p>
    <w:tbl>
      <w:tblPr>
        <w:tblpPr w:leftFromText="141" w:rightFromText="141" w:vertAnchor="text" w:horzAnchor="margin" w:tblpXSpec="center" w:tblpY="212"/>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90"/>
        <w:gridCol w:w="8490"/>
      </w:tblGrid>
      <w:tr w:rsidR="00B13461" w14:paraId="25C7844F" w14:textId="77777777" w:rsidTr="0046169C">
        <w:tc>
          <w:tcPr>
            <w:tcW w:w="690" w:type="dxa"/>
            <w:tcBorders>
              <w:bottom w:val="single" w:sz="12" w:space="0" w:color="000000"/>
            </w:tcBorders>
          </w:tcPr>
          <w:p w14:paraId="297E9FFB" w14:textId="77777777" w:rsidR="00B13461" w:rsidRPr="009F53F3" w:rsidRDefault="00B13461" w:rsidP="0046169C">
            <w:pPr>
              <w:spacing w:before="60" w:after="60"/>
              <w:rPr>
                <w:sz w:val="20"/>
              </w:rPr>
            </w:pPr>
            <w:proofErr w:type="spellStart"/>
            <w:r w:rsidRPr="009F53F3">
              <w:rPr>
                <w:sz w:val="20"/>
              </w:rPr>
              <w:t>R</w:t>
            </w:r>
            <w:r>
              <w:rPr>
                <w:sz w:val="20"/>
              </w:rPr>
              <w:t>ev</w:t>
            </w:r>
            <w:proofErr w:type="spellEnd"/>
            <w:r w:rsidRPr="009F53F3">
              <w:rPr>
                <w:sz w:val="20"/>
              </w:rPr>
              <w:t>.</w:t>
            </w:r>
            <w:r>
              <w:rPr>
                <w:sz w:val="20"/>
              </w:rPr>
              <w:t>:</w:t>
            </w:r>
          </w:p>
        </w:tc>
        <w:tc>
          <w:tcPr>
            <w:tcW w:w="8490" w:type="dxa"/>
            <w:tcBorders>
              <w:bottom w:val="single" w:sz="12" w:space="0" w:color="000000"/>
            </w:tcBorders>
          </w:tcPr>
          <w:p w14:paraId="79CC1827" w14:textId="77777777" w:rsidR="00B13461" w:rsidRPr="009F53F3" w:rsidRDefault="00B13461" w:rsidP="0046169C">
            <w:pPr>
              <w:spacing w:before="60" w:after="60"/>
              <w:rPr>
                <w:sz w:val="20"/>
              </w:rPr>
            </w:pPr>
            <w:r>
              <w:rPr>
                <w:sz w:val="20"/>
              </w:rPr>
              <w:t xml:space="preserve">  </w:t>
            </w:r>
            <w:r w:rsidRPr="009F53F3">
              <w:rPr>
                <w:sz w:val="20"/>
              </w:rPr>
              <w:t>Poznámky k</w:t>
            </w:r>
            <w:r>
              <w:rPr>
                <w:sz w:val="20"/>
              </w:rPr>
              <w:t> </w:t>
            </w:r>
            <w:r w:rsidRPr="009F53F3">
              <w:rPr>
                <w:sz w:val="20"/>
              </w:rPr>
              <w:t>revizím</w:t>
            </w:r>
            <w:r>
              <w:rPr>
                <w:sz w:val="20"/>
              </w:rPr>
              <w:t>:</w:t>
            </w:r>
          </w:p>
        </w:tc>
      </w:tr>
      <w:tr w:rsidR="00B13461" w14:paraId="37B8A8BE" w14:textId="77777777" w:rsidTr="0046169C">
        <w:tc>
          <w:tcPr>
            <w:tcW w:w="690" w:type="dxa"/>
          </w:tcPr>
          <w:p w14:paraId="722B9327" w14:textId="77777777" w:rsidR="00B13461" w:rsidRPr="009F53F3" w:rsidRDefault="00B13461" w:rsidP="0046169C">
            <w:pPr>
              <w:spacing w:before="60" w:after="60"/>
              <w:jc w:val="center"/>
              <w:rPr>
                <w:sz w:val="20"/>
              </w:rPr>
            </w:pPr>
            <w:r w:rsidRPr="009F53F3">
              <w:rPr>
                <w:sz w:val="20"/>
              </w:rPr>
              <w:t>1</w:t>
            </w:r>
          </w:p>
        </w:tc>
        <w:tc>
          <w:tcPr>
            <w:tcW w:w="8490" w:type="dxa"/>
            <w:vAlign w:val="center"/>
          </w:tcPr>
          <w:p w14:paraId="0CB931D0" w14:textId="77777777" w:rsidR="00B13461" w:rsidRPr="009F53F3" w:rsidRDefault="00B13461" w:rsidP="0046169C">
            <w:pPr>
              <w:spacing w:before="60" w:after="60"/>
              <w:rPr>
                <w:sz w:val="20"/>
              </w:rPr>
            </w:pPr>
          </w:p>
        </w:tc>
      </w:tr>
      <w:tr w:rsidR="00B13461" w14:paraId="66509EDF" w14:textId="77777777" w:rsidTr="0046169C">
        <w:tc>
          <w:tcPr>
            <w:tcW w:w="690" w:type="dxa"/>
          </w:tcPr>
          <w:p w14:paraId="422E52FF" w14:textId="77777777" w:rsidR="00B13461" w:rsidRPr="009F53F3" w:rsidRDefault="00B13461" w:rsidP="0046169C">
            <w:pPr>
              <w:spacing w:before="60" w:after="60"/>
              <w:jc w:val="center"/>
              <w:rPr>
                <w:sz w:val="20"/>
              </w:rPr>
            </w:pPr>
            <w:r w:rsidRPr="009F53F3">
              <w:rPr>
                <w:sz w:val="20"/>
              </w:rPr>
              <w:t>2</w:t>
            </w:r>
          </w:p>
        </w:tc>
        <w:tc>
          <w:tcPr>
            <w:tcW w:w="8490" w:type="dxa"/>
            <w:vAlign w:val="center"/>
          </w:tcPr>
          <w:p w14:paraId="0632CF8A" w14:textId="77777777" w:rsidR="00B13461" w:rsidRPr="009F53F3" w:rsidRDefault="00B13461" w:rsidP="0046169C">
            <w:pPr>
              <w:spacing w:before="60" w:after="60"/>
              <w:rPr>
                <w:sz w:val="20"/>
              </w:rPr>
            </w:pPr>
          </w:p>
        </w:tc>
      </w:tr>
      <w:tr w:rsidR="00B13461" w14:paraId="5A44EE6D" w14:textId="77777777" w:rsidTr="0046169C">
        <w:tc>
          <w:tcPr>
            <w:tcW w:w="690" w:type="dxa"/>
          </w:tcPr>
          <w:p w14:paraId="3DEBC4A0" w14:textId="77777777" w:rsidR="00B13461" w:rsidRPr="009F53F3" w:rsidRDefault="00B13461" w:rsidP="0046169C">
            <w:pPr>
              <w:spacing w:before="60" w:after="60"/>
              <w:jc w:val="center"/>
              <w:rPr>
                <w:sz w:val="20"/>
              </w:rPr>
            </w:pPr>
            <w:r w:rsidRPr="009F53F3">
              <w:rPr>
                <w:sz w:val="20"/>
              </w:rPr>
              <w:t>3</w:t>
            </w:r>
          </w:p>
        </w:tc>
        <w:tc>
          <w:tcPr>
            <w:tcW w:w="8490" w:type="dxa"/>
            <w:vAlign w:val="center"/>
          </w:tcPr>
          <w:p w14:paraId="18E31262" w14:textId="77777777" w:rsidR="00B13461" w:rsidRPr="009F53F3" w:rsidRDefault="00B13461" w:rsidP="0046169C">
            <w:pPr>
              <w:spacing w:before="60" w:after="60"/>
              <w:rPr>
                <w:sz w:val="20"/>
              </w:rPr>
            </w:pPr>
          </w:p>
        </w:tc>
      </w:tr>
      <w:tr w:rsidR="00B13461" w14:paraId="059720A5" w14:textId="77777777" w:rsidTr="0046169C">
        <w:tc>
          <w:tcPr>
            <w:tcW w:w="690" w:type="dxa"/>
          </w:tcPr>
          <w:p w14:paraId="217BA79D" w14:textId="77777777" w:rsidR="00B13461" w:rsidRPr="009F53F3" w:rsidRDefault="00B13461" w:rsidP="0046169C">
            <w:pPr>
              <w:spacing w:before="60" w:after="60"/>
              <w:jc w:val="center"/>
              <w:rPr>
                <w:sz w:val="20"/>
              </w:rPr>
            </w:pPr>
            <w:r w:rsidRPr="009F53F3">
              <w:rPr>
                <w:sz w:val="20"/>
              </w:rPr>
              <w:t>4</w:t>
            </w:r>
          </w:p>
        </w:tc>
        <w:tc>
          <w:tcPr>
            <w:tcW w:w="8490" w:type="dxa"/>
            <w:vAlign w:val="center"/>
          </w:tcPr>
          <w:p w14:paraId="1FD9E79C" w14:textId="77777777" w:rsidR="00B13461" w:rsidRPr="009F53F3" w:rsidRDefault="00B13461" w:rsidP="0046169C">
            <w:pPr>
              <w:spacing w:before="60" w:after="60"/>
              <w:rPr>
                <w:sz w:val="20"/>
              </w:rPr>
            </w:pPr>
          </w:p>
        </w:tc>
      </w:tr>
      <w:tr w:rsidR="00B13461" w14:paraId="4007F1FB" w14:textId="77777777" w:rsidTr="0046169C">
        <w:tc>
          <w:tcPr>
            <w:tcW w:w="690" w:type="dxa"/>
          </w:tcPr>
          <w:p w14:paraId="11CC0CAC" w14:textId="77777777" w:rsidR="00B13461" w:rsidRPr="009F53F3" w:rsidRDefault="00B13461" w:rsidP="0046169C">
            <w:pPr>
              <w:spacing w:before="60" w:after="60"/>
              <w:jc w:val="center"/>
              <w:rPr>
                <w:sz w:val="20"/>
              </w:rPr>
            </w:pPr>
            <w:r w:rsidRPr="009F53F3">
              <w:rPr>
                <w:sz w:val="20"/>
              </w:rPr>
              <w:t>5</w:t>
            </w:r>
          </w:p>
        </w:tc>
        <w:tc>
          <w:tcPr>
            <w:tcW w:w="8490" w:type="dxa"/>
            <w:vAlign w:val="center"/>
          </w:tcPr>
          <w:p w14:paraId="5C0ED4D6" w14:textId="77777777" w:rsidR="00B13461" w:rsidRPr="009F53F3" w:rsidRDefault="00B13461" w:rsidP="0046169C">
            <w:pPr>
              <w:spacing w:before="60" w:after="60"/>
              <w:rPr>
                <w:sz w:val="20"/>
              </w:rPr>
            </w:pPr>
          </w:p>
        </w:tc>
      </w:tr>
    </w:tbl>
    <w:p w14:paraId="0BDAF4AA" w14:textId="77777777" w:rsidR="00B13461" w:rsidRDefault="00B13461" w:rsidP="00B13461">
      <w:pPr>
        <w:pStyle w:val="Podnadpis"/>
        <w:spacing w:after="240"/>
        <w:rPr>
          <w:caps/>
        </w:rPr>
      </w:pPr>
    </w:p>
    <w:p w14:paraId="69E8E65C" w14:textId="77777777" w:rsidR="00B13461" w:rsidRPr="00F82C8F" w:rsidRDefault="00B13461" w:rsidP="00B13461">
      <w:pPr>
        <w:pStyle w:val="Podnadpis"/>
        <w:spacing w:after="240"/>
        <w:ind w:firstLine="0"/>
        <w:rPr>
          <w:caps/>
        </w:rPr>
      </w:pPr>
      <w:r w:rsidRPr="00F82C8F">
        <w:rPr>
          <w:caps/>
        </w:rPr>
        <w:t>Schvalovací list revizí</w:t>
      </w:r>
    </w:p>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20"/>
        <w:gridCol w:w="965"/>
        <w:gridCol w:w="1827"/>
        <w:gridCol w:w="1098"/>
        <w:gridCol w:w="2050"/>
        <w:gridCol w:w="1080"/>
        <w:gridCol w:w="1440"/>
      </w:tblGrid>
      <w:tr w:rsidR="00B13461" w14:paraId="52321E25" w14:textId="77777777" w:rsidTr="0046169C">
        <w:trPr>
          <w:jc w:val="center"/>
        </w:trPr>
        <w:tc>
          <w:tcPr>
            <w:tcW w:w="720" w:type="dxa"/>
            <w:tcBorders>
              <w:bottom w:val="single" w:sz="12" w:space="0" w:color="000000"/>
            </w:tcBorders>
            <w:vAlign w:val="center"/>
          </w:tcPr>
          <w:p w14:paraId="26DA5800" w14:textId="77777777" w:rsidR="00B13461" w:rsidRPr="009F53F3" w:rsidRDefault="00B13461" w:rsidP="0046169C">
            <w:pPr>
              <w:spacing w:before="60" w:after="60"/>
              <w:rPr>
                <w:rFonts w:cs="Arial"/>
                <w:sz w:val="20"/>
              </w:rPr>
            </w:pPr>
            <w:bookmarkStart w:id="2" w:name="_Toc22113636"/>
            <w:bookmarkEnd w:id="2"/>
            <w:proofErr w:type="spellStart"/>
            <w:r>
              <w:rPr>
                <w:rFonts w:cs="Arial"/>
                <w:sz w:val="20"/>
              </w:rPr>
              <w:t>Rev</w:t>
            </w:r>
            <w:proofErr w:type="spellEnd"/>
            <w:r>
              <w:rPr>
                <w:rFonts w:cs="Arial"/>
                <w:sz w:val="20"/>
              </w:rPr>
              <w:t>.:</w:t>
            </w:r>
          </w:p>
        </w:tc>
        <w:tc>
          <w:tcPr>
            <w:tcW w:w="965" w:type="dxa"/>
            <w:tcBorders>
              <w:bottom w:val="single" w:sz="12" w:space="0" w:color="000000"/>
            </w:tcBorders>
            <w:vAlign w:val="center"/>
          </w:tcPr>
          <w:p w14:paraId="216EC627" w14:textId="77777777" w:rsidR="00B13461" w:rsidRPr="009F53F3" w:rsidRDefault="00B13461" w:rsidP="0046169C">
            <w:pPr>
              <w:spacing w:before="60" w:after="60"/>
              <w:rPr>
                <w:rFonts w:cs="Arial"/>
                <w:sz w:val="20"/>
              </w:rPr>
            </w:pPr>
            <w:r>
              <w:rPr>
                <w:rFonts w:cs="Arial"/>
                <w:sz w:val="20"/>
              </w:rPr>
              <w:t>Datum:</w:t>
            </w:r>
          </w:p>
        </w:tc>
        <w:tc>
          <w:tcPr>
            <w:tcW w:w="1827" w:type="dxa"/>
            <w:tcBorders>
              <w:bottom w:val="single" w:sz="12" w:space="0" w:color="000000"/>
            </w:tcBorders>
            <w:vAlign w:val="center"/>
          </w:tcPr>
          <w:p w14:paraId="31B48AF4" w14:textId="77777777" w:rsidR="00B13461" w:rsidRPr="009F53F3" w:rsidRDefault="00B13461" w:rsidP="0046169C">
            <w:pPr>
              <w:spacing w:before="60" w:after="60"/>
              <w:rPr>
                <w:rFonts w:cs="Arial"/>
                <w:sz w:val="20"/>
              </w:rPr>
            </w:pPr>
            <w:r w:rsidRPr="009F53F3">
              <w:rPr>
                <w:rFonts w:cs="Arial"/>
                <w:sz w:val="20"/>
              </w:rPr>
              <w:t>V</w:t>
            </w:r>
            <w:r>
              <w:rPr>
                <w:rFonts w:cs="Arial"/>
                <w:sz w:val="20"/>
              </w:rPr>
              <w:t>y</w:t>
            </w:r>
            <w:r w:rsidRPr="009F53F3">
              <w:rPr>
                <w:rFonts w:cs="Arial"/>
                <w:sz w:val="20"/>
              </w:rPr>
              <w:t>pracoval</w:t>
            </w:r>
            <w:r>
              <w:rPr>
                <w:rFonts w:cs="Arial"/>
                <w:sz w:val="20"/>
              </w:rPr>
              <w:t>:</w:t>
            </w:r>
          </w:p>
        </w:tc>
        <w:tc>
          <w:tcPr>
            <w:tcW w:w="1098" w:type="dxa"/>
            <w:tcBorders>
              <w:bottom w:val="single" w:sz="12" w:space="0" w:color="000000"/>
            </w:tcBorders>
            <w:vAlign w:val="center"/>
          </w:tcPr>
          <w:p w14:paraId="764382BC" w14:textId="77777777" w:rsidR="00B13461" w:rsidRPr="009F53F3" w:rsidRDefault="00B13461" w:rsidP="0046169C">
            <w:pPr>
              <w:spacing w:before="60" w:after="60"/>
              <w:rPr>
                <w:rFonts w:cs="Arial"/>
                <w:sz w:val="20"/>
              </w:rPr>
            </w:pPr>
            <w:r>
              <w:rPr>
                <w:rFonts w:cs="Arial"/>
                <w:sz w:val="20"/>
              </w:rPr>
              <w:t>D</w:t>
            </w:r>
            <w:r w:rsidRPr="009F53F3">
              <w:rPr>
                <w:rFonts w:cs="Arial"/>
                <w:sz w:val="20"/>
              </w:rPr>
              <w:t>atum</w:t>
            </w:r>
            <w:r>
              <w:rPr>
                <w:rFonts w:cs="Arial"/>
                <w:sz w:val="20"/>
              </w:rPr>
              <w:t>:</w:t>
            </w:r>
          </w:p>
        </w:tc>
        <w:tc>
          <w:tcPr>
            <w:tcW w:w="2050" w:type="dxa"/>
            <w:tcBorders>
              <w:bottom w:val="single" w:sz="12" w:space="0" w:color="000000"/>
            </w:tcBorders>
            <w:vAlign w:val="center"/>
          </w:tcPr>
          <w:p w14:paraId="16FB6D2C" w14:textId="77777777" w:rsidR="00B13461" w:rsidRPr="009F53F3" w:rsidRDefault="00B13461" w:rsidP="0046169C">
            <w:pPr>
              <w:spacing w:before="60" w:after="60"/>
              <w:rPr>
                <w:rFonts w:cs="Arial"/>
                <w:sz w:val="20"/>
              </w:rPr>
            </w:pPr>
            <w:r w:rsidRPr="009F53F3">
              <w:rPr>
                <w:rFonts w:cs="Arial"/>
                <w:sz w:val="20"/>
              </w:rPr>
              <w:t>Zkontroloval</w:t>
            </w:r>
            <w:r>
              <w:rPr>
                <w:rFonts w:cs="Arial"/>
                <w:sz w:val="20"/>
              </w:rPr>
              <w:t>:</w:t>
            </w:r>
          </w:p>
        </w:tc>
        <w:tc>
          <w:tcPr>
            <w:tcW w:w="1080" w:type="dxa"/>
            <w:tcBorders>
              <w:bottom w:val="single" w:sz="12" w:space="0" w:color="000000"/>
            </w:tcBorders>
            <w:vAlign w:val="center"/>
          </w:tcPr>
          <w:p w14:paraId="4697E2A9" w14:textId="77777777" w:rsidR="00B13461" w:rsidRPr="009F53F3" w:rsidRDefault="00B13461" w:rsidP="0046169C">
            <w:pPr>
              <w:spacing w:before="60" w:after="60"/>
              <w:rPr>
                <w:rFonts w:cs="Arial"/>
                <w:sz w:val="20"/>
              </w:rPr>
            </w:pPr>
            <w:r>
              <w:rPr>
                <w:rFonts w:cs="Arial"/>
                <w:sz w:val="20"/>
              </w:rPr>
              <w:t>D</w:t>
            </w:r>
            <w:r w:rsidRPr="009F53F3">
              <w:rPr>
                <w:rFonts w:cs="Arial"/>
                <w:sz w:val="20"/>
              </w:rPr>
              <w:t>atum</w:t>
            </w:r>
            <w:r>
              <w:rPr>
                <w:rFonts w:cs="Arial"/>
                <w:sz w:val="20"/>
              </w:rPr>
              <w:t>:</w:t>
            </w:r>
          </w:p>
        </w:tc>
        <w:tc>
          <w:tcPr>
            <w:tcW w:w="1440" w:type="dxa"/>
            <w:tcBorders>
              <w:bottom w:val="single" w:sz="12" w:space="0" w:color="000000"/>
            </w:tcBorders>
            <w:vAlign w:val="center"/>
          </w:tcPr>
          <w:p w14:paraId="4BDF57A4" w14:textId="77777777" w:rsidR="00B13461" w:rsidRPr="009F53F3" w:rsidRDefault="00B13461" w:rsidP="0046169C">
            <w:pPr>
              <w:spacing w:before="60" w:after="60"/>
              <w:rPr>
                <w:rFonts w:cs="Arial"/>
                <w:sz w:val="20"/>
              </w:rPr>
            </w:pPr>
            <w:r>
              <w:rPr>
                <w:rFonts w:cs="Arial"/>
                <w:sz w:val="20"/>
              </w:rPr>
              <w:t>S</w:t>
            </w:r>
            <w:r w:rsidRPr="009F53F3">
              <w:rPr>
                <w:rFonts w:cs="Arial"/>
                <w:sz w:val="20"/>
              </w:rPr>
              <w:t>chválil</w:t>
            </w:r>
            <w:r>
              <w:rPr>
                <w:rFonts w:cs="Arial"/>
                <w:sz w:val="20"/>
              </w:rPr>
              <w:t>:</w:t>
            </w:r>
          </w:p>
        </w:tc>
      </w:tr>
      <w:tr w:rsidR="00B13461" w14:paraId="520BA916" w14:textId="77777777" w:rsidTr="0046169C">
        <w:trPr>
          <w:jc w:val="center"/>
        </w:trPr>
        <w:tc>
          <w:tcPr>
            <w:tcW w:w="720" w:type="dxa"/>
            <w:vAlign w:val="center"/>
          </w:tcPr>
          <w:p w14:paraId="67BB5D09" w14:textId="77777777" w:rsidR="00B13461" w:rsidRPr="009F53F3" w:rsidRDefault="00B13461" w:rsidP="0046169C">
            <w:pPr>
              <w:spacing w:before="60" w:after="60"/>
              <w:jc w:val="center"/>
              <w:rPr>
                <w:rFonts w:cs="Arial"/>
                <w:sz w:val="20"/>
              </w:rPr>
            </w:pPr>
            <w:r w:rsidRPr="009F53F3">
              <w:rPr>
                <w:rFonts w:cs="Arial"/>
                <w:sz w:val="20"/>
              </w:rPr>
              <w:t>1</w:t>
            </w:r>
          </w:p>
        </w:tc>
        <w:tc>
          <w:tcPr>
            <w:tcW w:w="965" w:type="dxa"/>
            <w:vAlign w:val="center"/>
          </w:tcPr>
          <w:p w14:paraId="19ED1C2E" w14:textId="77777777" w:rsidR="00B13461" w:rsidRPr="009F53F3" w:rsidRDefault="00B13461" w:rsidP="0046169C">
            <w:pPr>
              <w:spacing w:before="60" w:after="60"/>
              <w:rPr>
                <w:rFonts w:cs="Arial"/>
                <w:sz w:val="20"/>
              </w:rPr>
            </w:pPr>
          </w:p>
        </w:tc>
        <w:tc>
          <w:tcPr>
            <w:tcW w:w="1827" w:type="dxa"/>
            <w:vAlign w:val="center"/>
          </w:tcPr>
          <w:p w14:paraId="385ED87E" w14:textId="77777777" w:rsidR="00B13461" w:rsidRPr="009F53F3" w:rsidRDefault="00B13461" w:rsidP="0046169C">
            <w:pPr>
              <w:spacing w:before="60" w:after="60"/>
              <w:rPr>
                <w:rFonts w:cs="Arial"/>
                <w:sz w:val="20"/>
              </w:rPr>
            </w:pPr>
          </w:p>
        </w:tc>
        <w:tc>
          <w:tcPr>
            <w:tcW w:w="1098" w:type="dxa"/>
            <w:vAlign w:val="center"/>
          </w:tcPr>
          <w:p w14:paraId="29A43410" w14:textId="77777777" w:rsidR="00B13461" w:rsidRPr="009F53F3" w:rsidRDefault="00B13461" w:rsidP="0046169C">
            <w:pPr>
              <w:spacing w:before="60" w:after="60"/>
              <w:rPr>
                <w:rFonts w:cs="Arial"/>
                <w:sz w:val="20"/>
              </w:rPr>
            </w:pPr>
          </w:p>
        </w:tc>
        <w:tc>
          <w:tcPr>
            <w:tcW w:w="2050" w:type="dxa"/>
            <w:vAlign w:val="center"/>
          </w:tcPr>
          <w:p w14:paraId="1B6E1EEF" w14:textId="77777777" w:rsidR="00B13461" w:rsidRPr="009F53F3" w:rsidRDefault="00B13461" w:rsidP="0046169C">
            <w:pPr>
              <w:spacing w:before="60" w:after="60"/>
              <w:rPr>
                <w:rFonts w:cs="Arial"/>
                <w:sz w:val="20"/>
              </w:rPr>
            </w:pPr>
          </w:p>
        </w:tc>
        <w:tc>
          <w:tcPr>
            <w:tcW w:w="1080" w:type="dxa"/>
            <w:vAlign w:val="center"/>
          </w:tcPr>
          <w:p w14:paraId="6AA5777C" w14:textId="77777777" w:rsidR="00B13461" w:rsidRPr="009F53F3" w:rsidRDefault="00B13461" w:rsidP="0046169C">
            <w:pPr>
              <w:spacing w:before="60" w:after="60"/>
              <w:rPr>
                <w:rFonts w:cs="Arial"/>
                <w:sz w:val="20"/>
              </w:rPr>
            </w:pPr>
          </w:p>
        </w:tc>
        <w:tc>
          <w:tcPr>
            <w:tcW w:w="1440" w:type="dxa"/>
            <w:vAlign w:val="center"/>
          </w:tcPr>
          <w:p w14:paraId="68E5C6E2" w14:textId="77777777" w:rsidR="00B13461" w:rsidRPr="009F53F3" w:rsidRDefault="00B13461" w:rsidP="0046169C">
            <w:pPr>
              <w:spacing w:before="60" w:after="60"/>
              <w:rPr>
                <w:rFonts w:cs="Arial"/>
                <w:sz w:val="20"/>
              </w:rPr>
            </w:pPr>
          </w:p>
        </w:tc>
      </w:tr>
      <w:tr w:rsidR="00B13461" w14:paraId="47A9DB3D" w14:textId="77777777" w:rsidTr="0046169C">
        <w:trPr>
          <w:jc w:val="center"/>
        </w:trPr>
        <w:tc>
          <w:tcPr>
            <w:tcW w:w="720" w:type="dxa"/>
            <w:vAlign w:val="center"/>
          </w:tcPr>
          <w:p w14:paraId="24629ACB" w14:textId="77777777" w:rsidR="00B13461" w:rsidRPr="009F53F3" w:rsidRDefault="00B13461" w:rsidP="0046169C">
            <w:pPr>
              <w:spacing w:before="60" w:after="60"/>
              <w:jc w:val="center"/>
              <w:rPr>
                <w:rFonts w:cs="Arial"/>
                <w:sz w:val="20"/>
              </w:rPr>
            </w:pPr>
            <w:r w:rsidRPr="009F53F3">
              <w:rPr>
                <w:rFonts w:cs="Arial"/>
                <w:sz w:val="20"/>
              </w:rPr>
              <w:t>2</w:t>
            </w:r>
          </w:p>
        </w:tc>
        <w:tc>
          <w:tcPr>
            <w:tcW w:w="965" w:type="dxa"/>
            <w:vAlign w:val="center"/>
          </w:tcPr>
          <w:p w14:paraId="75D92380" w14:textId="77777777" w:rsidR="00B13461" w:rsidRPr="009F53F3" w:rsidRDefault="00B13461" w:rsidP="0046169C">
            <w:pPr>
              <w:spacing w:before="60" w:after="60"/>
              <w:rPr>
                <w:rFonts w:cs="Arial"/>
                <w:sz w:val="20"/>
              </w:rPr>
            </w:pPr>
          </w:p>
        </w:tc>
        <w:tc>
          <w:tcPr>
            <w:tcW w:w="1827" w:type="dxa"/>
            <w:vAlign w:val="center"/>
          </w:tcPr>
          <w:p w14:paraId="2633E9D3" w14:textId="77777777" w:rsidR="00B13461" w:rsidRPr="009F53F3" w:rsidRDefault="00B13461" w:rsidP="0046169C">
            <w:pPr>
              <w:spacing w:before="60" w:after="60"/>
              <w:rPr>
                <w:rFonts w:cs="Arial"/>
                <w:sz w:val="20"/>
              </w:rPr>
            </w:pPr>
          </w:p>
        </w:tc>
        <w:tc>
          <w:tcPr>
            <w:tcW w:w="1098" w:type="dxa"/>
            <w:vAlign w:val="center"/>
          </w:tcPr>
          <w:p w14:paraId="309E151A" w14:textId="77777777" w:rsidR="00B13461" w:rsidRPr="009F53F3" w:rsidRDefault="00B13461" w:rsidP="0046169C">
            <w:pPr>
              <w:spacing w:before="60" w:after="60"/>
              <w:rPr>
                <w:rFonts w:cs="Arial"/>
                <w:sz w:val="20"/>
              </w:rPr>
            </w:pPr>
          </w:p>
        </w:tc>
        <w:tc>
          <w:tcPr>
            <w:tcW w:w="2050" w:type="dxa"/>
            <w:vAlign w:val="center"/>
          </w:tcPr>
          <w:p w14:paraId="3B9C4AEE" w14:textId="77777777" w:rsidR="00B13461" w:rsidRPr="009F53F3" w:rsidRDefault="00B13461" w:rsidP="0046169C">
            <w:pPr>
              <w:spacing w:before="60" w:after="60"/>
              <w:rPr>
                <w:rFonts w:cs="Arial"/>
                <w:sz w:val="20"/>
              </w:rPr>
            </w:pPr>
          </w:p>
        </w:tc>
        <w:tc>
          <w:tcPr>
            <w:tcW w:w="1080" w:type="dxa"/>
            <w:vAlign w:val="center"/>
          </w:tcPr>
          <w:p w14:paraId="75F3670C" w14:textId="77777777" w:rsidR="00B13461" w:rsidRPr="009F53F3" w:rsidRDefault="00B13461" w:rsidP="0046169C">
            <w:pPr>
              <w:spacing w:before="60" w:after="60"/>
              <w:rPr>
                <w:rFonts w:cs="Arial"/>
                <w:sz w:val="20"/>
              </w:rPr>
            </w:pPr>
          </w:p>
        </w:tc>
        <w:tc>
          <w:tcPr>
            <w:tcW w:w="1440" w:type="dxa"/>
            <w:vAlign w:val="center"/>
          </w:tcPr>
          <w:p w14:paraId="15C5285B" w14:textId="77777777" w:rsidR="00B13461" w:rsidRPr="009F53F3" w:rsidRDefault="00B13461" w:rsidP="0046169C">
            <w:pPr>
              <w:spacing w:before="60" w:after="60"/>
              <w:rPr>
                <w:rFonts w:cs="Arial"/>
                <w:sz w:val="20"/>
              </w:rPr>
            </w:pPr>
          </w:p>
        </w:tc>
      </w:tr>
      <w:tr w:rsidR="00B13461" w14:paraId="184CD17C" w14:textId="77777777" w:rsidTr="0046169C">
        <w:trPr>
          <w:jc w:val="center"/>
        </w:trPr>
        <w:tc>
          <w:tcPr>
            <w:tcW w:w="720" w:type="dxa"/>
            <w:vAlign w:val="center"/>
          </w:tcPr>
          <w:p w14:paraId="5A4C8521" w14:textId="77777777" w:rsidR="00B13461" w:rsidRPr="009F53F3" w:rsidRDefault="00B13461" w:rsidP="0046169C">
            <w:pPr>
              <w:spacing w:before="60" w:after="60"/>
              <w:jc w:val="center"/>
              <w:rPr>
                <w:rFonts w:cs="Arial"/>
                <w:sz w:val="20"/>
              </w:rPr>
            </w:pPr>
            <w:r w:rsidRPr="009F53F3">
              <w:rPr>
                <w:rFonts w:cs="Arial"/>
                <w:sz w:val="20"/>
              </w:rPr>
              <w:t>3</w:t>
            </w:r>
          </w:p>
        </w:tc>
        <w:tc>
          <w:tcPr>
            <w:tcW w:w="965" w:type="dxa"/>
            <w:vAlign w:val="center"/>
          </w:tcPr>
          <w:p w14:paraId="449C3840" w14:textId="77777777" w:rsidR="00B13461" w:rsidRPr="009F53F3" w:rsidRDefault="00B13461" w:rsidP="0046169C">
            <w:pPr>
              <w:spacing w:before="60" w:after="60"/>
              <w:rPr>
                <w:rFonts w:cs="Arial"/>
                <w:sz w:val="20"/>
              </w:rPr>
            </w:pPr>
          </w:p>
        </w:tc>
        <w:tc>
          <w:tcPr>
            <w:tcW w:w="1827" w:type="dxa"/>
            <w:vAlign w:val="center"/>
          </w:tcPr>
          <w:p w14:paraId="3826D35B" w14:textId="77777777" w:rsidR="00B13461" w:rsidRPr="009F53F3" w:rsidRDefault="00B13461" w:rsidP="0046169C">
            <w:pPr>
              <w:spacing w:before="60" w:after="60"/>
              <w:rPr>
                <w:rFonts w:cs="Arial"/>
                <w:sz w:val="20"/>
              </w:rPr>
            </w:pPr>
          </w:p>
        </w:tc>
        <w:tc>
          <w:tcPr>
            <w:tcW w:w="1098" w:type="dxa"/>
            <w:vAlign w:val="center"/>
          </w:tcPr>
          <w:p w14:paraId="4487174F" w14:textId="77777777" w:rsidR="00B13461" w:rsidRPr="009F53F3" w:rsidRDefault="00B13461" w:rsidP="0046169C">
            <w:pPr>
              <w:spacing w:before="60" w:after="60"/>
              <w:rPr>
                <w:rFonts w:cs="Arial"/>
                <w:sz w:val="20"/>
              </w:rPr>
            </w:pPr>
          </w:p>
        </w:tc>
        <w:tc>
          <w:tcPr>
            <w:tcW w:w="2050" w:type="dxa"/>
            <w:vAlign w:val="center"/>
          </w:tcPr>
          <w:p w14:paraId="0D9615F5" w14:textId="77777777" w:rsidR="00B13461" w:rsidRPr="009F53F3" w:rsidRDefault="00B13461" w:rsidP="0046169C">
            <w:pPr>
              <w:spacing w:before="60" w:after="60"/>
              <w:rPr>
                <w:rFonts w:cs="Arial"/>
                <w:sz w:val="20"/>
              </w:rPr>
            </w:pPr>
          </w:p>
        </w:tc>
        <w:tc>
          <w:tcPr>
            <w:tcW w:w="1080" w:type="dxa"/>
            <w:vAlign w:val="center"/>
          </w:tcPr>
          <w:p w14:paraId="51D50CD4" w14:textId="77777777" w:rsidR="00B13461" w:rsidRPr="009F53F3" w:rsidRDefault="00B13461" w:rsidP="0046169C">
            <w:pPr>
              <w:spacing w:before="60" w:after="60"/>
              <w:rPr>
                <w:rFonts w:cs="Arial"/>
                <w:sz w:val="20"/>
              </w:rPr>
            </w:pPr>
          </w:p>
        </w:tc>
        <w:tc>
          <w:tcPr>
            <w:tcW w:w="1440" w:type="dxa"/>
            <w:vAlign w:val="center"/>
          </w:tcPr>
          <w:p w14:paraId="7559FD06" w14:textId="77777777" w:rsidR="00B13461" w:rsidRPr="009F53F3" w:rsidRDefault="00B13461" w:rsidP="0046169C">
            <w:pPr>
              <w:spacing w:before="60" w:after="60"/>
              <w:rPr>
                <w:rFonts w:cs="Arial"/>
                <w:sz w:val="20"/>
              </w:rPr>
            </w:pPr>
          </w:p>
        </w:tc>
      </w:tr>
      <w:tr w:rsidR="00B13461" w14:paraId="719EB051" w14:textId="77777777" w:rsidTr="0046169C">
        <w:trPr>
          <w:jc w:val="center"/>
        </w:trPr>
        <w:tc>
          <w:tcPr>
            <w:tcW w:w="720" w:type="dxa"/>
            <w:vAlign w:val="center"/>
          </w:tcPr>
          <w:p w14:paraId="560D30BA" w14:textId="77777777" w:rsidR="00B13461" w:rsidRPr="009F53F3" w:rsidRDefault="00B13461" w:rsidP="0046169C">
            <w:pPr>
              <w:spacing w:before="60" w:after="60"/>
              <w:jc w:val="center"/>
              <w:rPr>
                <w:rFonts w:cs="Arial"/>
                <w:sz w:val="20"/>
              </w:rPr>
            </w:pPr>
            <w:r w:rsidRPr="009F53F3">
              <w:rPr>
                <w:rFonts w:cs="Arial"/>
                <w:sz w:val="20"/>
              </w:rPr>
              <w:t>4</w:t>
            </w:r>
          </w:p>
        </w:tc>
        <w:tc>
          <w:tcPr>
            <w:tcW w:w="965" w:type="dxa"/>
            <w:vAlign w:val="center"/>
          </w:tcPr>
          <w:p w14:paraId="53132FA1" w14:textId="77777777" w:rsidR="00B13461" w:rsidRPr="009F53F3" w:rsidRDefault="00B13461" w:rsidP="0046169C">
            <w:pPr>
              <w:spacing w:before="60" w:after="60"/>
              <w:rPr>
                <w:rFonts w:cs="Arial"/>
                <w:sz w:val="20"/>
              </w:rPr>
            </w:pPr>
          </w:p>
        </w:tc>
        <w:tc>
          <w:tcPr>
            <w:tcW w:w="1827" w:type="dxa"/>
            <w:vAlign w:val="center"/>
          </w:tcPr>
          <w:p w14:paraId="22170816" w14:textId="77777777" w:rsidR="00B13461" w:rsidRPr="009F53F3" w:rsidRDefault="00B13461" w:rsidP="0046169C">
            <w:pPr>
              <w:spacing w:before="60" w:after="60"/>
              <w:rPr>
                <w:rFonts w:cs="Arial"/>
                <w:sz w:val="20"/>
              </w:rPr>
            </w:pPr>
          </w:p>
        </w:tc>
        <w:tc>
          <w:tcPr>
            <w:tcW w:w="1098" w:type="dxa"/>
            <w:vAlign w:val="center"/>
          </w:tcPr>
          <w:p w14:paraId="689DEA3D" w14:textId="77777777" w:rsidR="00B13461" w:rsidRPr="009F53F3" w:rsidRDefault="00B13461" w:rsidP="0046169C">
            <w:pPr>
              <w:spacing w:before="60" w:after="60"/>
              <w:rPr>
                <w:rFonts w:cs="Arial"/>
                <w:sz w:val="20"/>
              </w:rPr>
            </w:pPr>
          </w:p>
        </w:tc>
        <w:tc>
          <w:tcPr>
            <w:tcW w:w="2050" w:type="dxa"/>
            <w:vAlign w:val="center"/>
          </w:tcPr>
          <w:p w14:paraId="0D30137C" w14:textId="77777777" w:rsidR="00B13461" w:rsidRPr="009F53F3" w:rsidRDefault="00B13461" w:rsidP="0046169C">
            <w:pPr>
              <w:spacing w:before="60" w:after="60"/>
              <w:rPr>
                <w:rFonts w:cs="Arial"/>
                <w:sz w:val="20"/>
              </w:rPr>
            </w:pPr>
          </w:p>
        </w:tc>
        <w:tc>
          <w:tcPr>
            <w:tcW w:w="1080" w:type="dxa"/>
            <w:vAlign w:val="center"/>
          </w:tcPr>
          <w:p w14:paraId="0868300D" w14:textId="77777777" w:rsidR="00B13461" w:rsidRPr="009F53F3" w:rsidRDefault="00B13461" w:rsidP="0046169C">
            <w:pPr>
              <w:spacing w:before="60" w:after="60"/>
              <w:rPr>
                <w:rFonts w:cs="Arial"/>
                <w:sz w:val="20"/>
              </w:rPr>
            </w:pPr>
          </w:p>
        </w:tc>
        <w:tc>
          <w:tcPr>
            <w:tcW w:w="1440" w:type="dxa"/>
            <w:vAlign w:val="center"/>
          </w:tcPr>
          <w:p w14:paraId="20081873" w14:textId="77777777" w:rsidR="00B13461" w:rsidRPr="009F53F3" w:rsidRDefault="00B13461" w:rsidP="0046169C">
            <w:pPr>
              <w:spacing w:before="60" w:after="60"/>
              <w:rPr>
                <w:rFonts w:cs="Arial"/>
                <w:sz w:val="20"/>
              </w:rPr>
            </w:pPr>
          </w:p>
        </w:tc>
      </w:tr>
      <w:tr w:rsidR="00B13461" w14:paraId="12860D4F" w14:textId="77777777" w:rsidTr="0046169C">
        <w:trPr>
          <w:jc w:val="center"/>
        </w:trPr>
        <w:tc>
          <w:tcPr>
            <w:tcW w:w="720" w:type="dxa"/>
            <w:vAlign w:val="center"/>
          </w:tcPr>
          <w:p w14:paraId="6FDF0AA2" w14:textId="77777777" w:rsidR="00B13461" w:rsidRPr="009F53F3" w:rsidRDefault="00B13461" w:rsidP="0046169C">
            <w:pPr>
              <w:spacing w:before="60" w:after="60"/>
              <w:jc w:val="center"/>
              <w:rPr>
                <w:rFonts w:cs="Arial"/>
                <w:sz w:val="20"/>
              </w:rPr>
            </w:pPr>
            <w:r w:rsidRPr="009F53F3">
              <w:rPr>
                <w:rFonts w:cs="Arial"/>
                <w:sz w:val="20"/>
              </w:rPr>
              <w:t>5</w:t>
            </w:r>
          </w:p>
        </w:tc>
        <w:tc>
          <w:tcPr>
            <w:tcW w:w="965" w:type="dxa"/>
            <w:vAlign w:val="center"/>
          </w:tcPr>
          <w:p w14:paraId="5AA7E8C1" w14:textId="77777777" w:rsidR="00B13461" w:rsidRPr="009F53F3" w:rsidRDefault="00B13461" w:rsidP="0046169C">
            <w:pPr>
              <w:spacing w:before="60" w:after="60"/>
              <w:rPr>
                <w:rFonts w:cs="Arial"/>
                <w:sz w:val="20"/>
              </w:rPr>
            </w:pPr>
          </w:p>
        </w:tc>
        <w:tc>
          <w:tcPr>
            <w:tcW w:w="1827" w:type="dxa"/>
            <w:vAlign w:val="center"/>
          </w:tcPr>
          <w:p w14:paraId="76991059" w14:textId="77777777" w:rsidR="00B13461" w:rsidRPr="009F53F3" w:rsidRDefault="00B13461" w:rsidP="0046169C">
            <w:pPr>
              <w:spacing w:before="60" w:after="60"/>
              <w:rPr>
                <w:rFonts w:cs="Arial"/>
                <w:sz w:val="20"/>
              </w:rPr>
            </w:pPr>
          </w:p>
        </w:tc>
        <w:tc>
          <w:tcPr>
            <w:tcW w:w="1098" w:type="dxa"/>
            <w:vAlign w:val="center"/>
          </w:tcPr>
          <w:p w14:paraId="6915172C" w14:textId="77777777" w:rsidR="00B13461" w:rsidRPr="009F53F3" w:rsidRDefault="00B13461" w:rsidP="0046169C">
            <w:pPr>
              <w:spacing w:before="60" w:after="60"/>
              <w:rPr>
                <w:rFonts w:cs="Arial"/>
                <w:sz w:val="20"/>
              </w:rPr>
            </w:pPr>
          </w:p>
        </w:tc>
        <w:tc>
          <w:tcPr>
            <w:tcW w:w="2050" w:type="dxa"/>
            <w:vAlign w:val="center"/>
          </w:tcPr>
          <w:p w14:paraId="6926E21A" w14:textId="77777777" w:rsidR="00B13461" w:rsidRPr="009F53F3" w:rsidRDefault="00B13461" w:rsidP="0046169C">
            <w:pPr>
              <w:spacing w:before="60" w:after="60"/>
              <w:rPr>
                <w:rFonts w:cs="Arial"/>
                <w:sz w:val="20"/>
              </w:rPr>
            </w:pPr>
          </w:p>
        </w:tc>
        <w:tc>
          <w:tcPr>
            <w:tcW w:w="1080" w:type="dxa"/>
            <w:vAlign w:val="center"/>
          </w:tcPr>
          <w:p w14:paraId="13BCE799" w14:textId="77777777" w:rsidR="00B13461" w:rsidRPr="009F53F3" w:rsidRDefault="00B13461" w:rsidP="0046169C">
            <w:pPr>
              <w:spacing w:before="60" w:after="60"/>
              <w:rPr>
                <w:rFonts w:cs="Arial"/>
                <w:sz w:val="20"/>
              </w:rPr>
            </w:pPr>
          </w:p>
        </w:tc>
        <w:tc>
          <w:tcPr>
            <w:tcW w:w="1440" w:type="dxa"/>
            <w:vAlign w:val="center"/>
          </w:tcPr>
          <w:p w14:paraId="510D9E7D" w14:textId="77777777" w:rsidR="00B13461" w:rsidRPr="009F53F3" w:rsidRDefault="00B13461" w:rsidP="0046169C">
            <w:pPr>
              <w:spacing w:before="60" w:after="60"/>
              <w:rPr>
                <w:rFonts w:cs="Arial"/>
                <w:sz w:val="20"/>
              </w:rPr>
            </w:pPr>
          </w:p>
        </w:tc>
      </w:tr>
    </w:tbl>
    <w:p w14:paraId="3BB958C1" w14:textId="77777777" w:rsidR="00B13461" w:rsidRDefault="00B13461" w:rsidP="00B13461"/>
    <w:p w14:paraId="508EC1C6" w14:textId="77777777" w:rsidR="00B13461" w:rsidRDefault="00B13461" w:rsidP="00B13461"/>
    <w:p w14:paraId="0FACA4B8" w14:textId="77777777" w:rsidR="00B13461" w:rsidRDefault="00B13461" w:rsidP="00B13461"/>
    <w:p w14:paraId="6D37EDE0" w14:textId="77777777" w:rsidR="00B13461" w:rsidRDefault="00B13461" w:rsidP="00B13461"/>
    <w:p w14:paraId="15AD8BB6" w14:textId="77777777" w:rsidR="00B13461" w:rsidRDefault="00B13461" w:rsidP="00B13461"/>
    <w:p w14:paraId="3DD576CC" w14:textId="77777777" w:rsidR="00B13461" w:rsidRDefault="00B13461" w:rsidP="00B13461"/>
    <w:p w14:paraId="413B33FF" w14:textId="77777777" w:rsidR="00B13461" w:rsidRDefault="00B13461" w:rsidP="00B13461"/>
    <w:bookmarkEnd w:id="0"/>
    <w:p w14:paraId="174686D8" w14:textId="77777777" w:rsidR="00035674" w:rsidRPr="00DD561E" w:rsidRDefault="00035674" w:rsidP="00035674">
      <w:pPr>
        <w:pStyle w:val="Nadpis1"/>
        <w:rPr>
          <w:rStyle w:val="Nzevknihy"/>
          <w:b/>
          <w:smallCaps w:val="0"/>
        </w:rPr>
      </w:pPr>
    </w:p>
    <w:p w14:paraId="07AFD1B5" w14:textId="77777777" w:rsidR="004047D2" w:rsidRDefault="004047D2" w:rsidP="00887574"/>
    <w:p w14:paraId="7F0CB9EF" w14:textId="77777777" w:rsidR="004047D2" w:rsidRDefault="004047D2" w:rsidP="00887574"/>
    <w:p w14:paraId="2645F3F9" w14:textId="77777777" w:rsidR="004047D2" w:rsidRDefault="004047D2" w:rsidP="00887574"/>
    <w:p w14:paraId="64AD4B88" w14:textId="77777777" w:rsidR="004047D2" w:rsidRDefault="004047D2" w:rsidP="00887574"/>
    <w:p w14:paraId="67378376" w14:textId="77777777" w:rsidR="00E0478A" w:rsidRDefault="00E0478A" w:rsidP="00887574"/>
    <w:p w14:paraId="57BB24A6" w14:textId="77777777" w:rsidR="00B76BB7" w:rsidRDefault="00B76BB7" w:rsidP="00887574"/>
    <w:p w14:paraId="4179EBE4" w14:textId="77777777" w:rsidR="002C3049" w:rsidRDefault="002C3049" w:rsidP="00887574"/>
    <w:sdt>
      <w:sdtPr>
        <w:rPr>
          <w:rFonts w:eastAsiaTheme="minorHAnsi" w:cstheme="minorBidi"/>
          <w:b w:val="0"/>
          <w:bCs/>
          <w:smallCaps/>
          <w:spacing w:val="5"/>
          <w:szCs w:val="22"/>
          <w:lang w:eastAsia="en-US"/>
        </w:rPr>
        <w:id w:val="-225462989"/>
        <w:docPartObj>
          <w:docPartGallery w:val="Table of Contents"/>
          <w:docPartUnique/>
        </w:docPartObj>
      </w:sdtPr>
      <w:sdtEndPr>
        <w:rPr>
          <w:b/>
          <w:smallCaps w:val="0"/>
          <w:spacing w:val="0"/>
          <w:sz w:val="22"/>
        </w:rPr>
      </w:sdtEndPr>
      <w:sdtContent>
        <w:p w14:paraId="7D5B5FC4" w14:textId="77777777" w:rsidR="004047D2" w:rsidRDefault="004047D2">
          <w:pPr>
            <w:pStyle w:val="Nadpisobsahu"/>
          </w:pPr>
          <w:r>
            <w:t>Obsah</w:t>
          </w:r>
        </w:p>
        <w:p w14:paraId="126359D5" w14:textId="22882901" w:rsidR="00C13BBE" w:rsidRDefault="00650B13">
          <w:pPr>
            <w:pStyle w:val="Obsah2"/>
            <w:tabs>
              <w:tab w:val="left" w:pos="880"/>
              <w:tab w:val="right" w:leader="dot" w:pos="9060"/>
            </w:tabs>
            <w:rPr>
              <w:rFonts w:asciiTheme="minorHAnsi" w:eastAsiaTheme="minorEastAsia" w:hAnsiTheme="minorHAnsi"/>
              <w:noProof/>
              <w:lang w:eastAsia="cs-CZ"/>
            </w:rPr>
          </w:pPr>
          <w:r>
            <w:fldChar w:fldCharType="begin"/>
          </w:r>
          <w:r w:rsidR="004047D2">
            <w:instrText xml:space="preserve"> TOC \o "1-3" \h \z \u </w:instrText>
          </w:r>
          <w:r>
            <w:fldChar w:fldCharType="separate"/>
          </w:r>
          <w:hyperlink w:anchor="_Toc45723473" w:history="1">
            <w:r w:rsidR="00C13BBE" w:rsidRPr="00AA7F4C">
              <w:rPr>
                <w:rStyle w:val="Hypertextovodkaz"/>
                <w:rFonts w:eastAsia="Times New Roman"/>
                <w:noProof/>
                <w:lang w:eastAsia="cs-CZ"/>
              </w:rPr>
              <w:t>B.1</w:t>
            </w:r>
            <w:r w:rsidR="00C13BBE">
              <w:rPr>
                <w:rFonts w:asciiTheme="minorHAnsi" w:eastAsiaTheme="minorEastAsia" w:hAnsiTheme="minorHAnsi"/>
                <w:noProof/>
                <w:lang w:eastAsia="cs-CZ"/>
              </w:rPr>
              <w:tab/>
            </w:r>
            <w:r w:rsidR="00C13BBE" w:rsidRPr="00AA7F4C">
              <w:rPr>
                <w:rStyle w:val="Hypertextovodkaz"/>
                <w:rFonts w:eastAsia="Times New Roman"/>
                <w:noProof/>
                <w:lang w:eastAsia="cs-CZ"/>
              </w:rPr>
              <w:t>Popis území stavby</w:t>
            </w:r>
            <w:r w:rsidR="00C13BBE">
              <w:rPr>
                <w:noProof/>
                <w:webHidden/>
              </w:rPr>
              <w:tab/>
            </w:r>
            <w:r w:rsidR="00C13BBE">
              <w:rPr>
                <w:noProof/>
                <w:webHidden/>
              </w:rPr>
              <w:fldChar w:fldCharType="begin"/>
            </w:r>
            <w:r w:rsidR="00C13BBE">
              <w:rPr>
                <w:noProof/>
                <w:webHidden/>
              </w:rPr>
              <w:instrText xml:space="preserve"> PAGEREF _Toc45723473 \h </w:instrText>
            </w:r>
            <w:r w:rsidR="00C13BBE">
              <w:rPr>
                <w:noProof/>
                <w:webHidden/>
              </w:rPr>
            </w:r>
            <w:r w:rsidR="00C13BBE">
              <w:rPr>
                <w:noProof/>
                <w:webHidden/>
              </w:rPr>
              <w:fldChar w:fldCharType="separate"/>
            </w:r>
            <w:r w:rsidR="009B1859">
              <w:rPr>
                <w:noProof/>
                <w:webHidden/>
              </w:rPr>
              <w:t>5</w:t>
            </w:r>
            <w:r w:rsidR="00C13BBE">
              <w:rPr>
                <w:noProof/>
                <w:webHidden/>
              </w:rPr>
              <w:fldChar w:fldCharType="end"/>
            </w:r>
          </w:hyperlink>
        </w:p>
        <w:p w14:paraId="0879F103" w14:textId="68BDE7D1" w:rsidR="00C13BBE" w:rsidRDefault="009B1859">
          <w:pPr>
            <w:pStyle w:val="Obsah3"/>
            <w:tabs>
              <w:tab w:val="right" w:leader="dot" w:pos="9060"/>
            </w:tabs>
            <w:rPr>
              <w:rFonts w:asciiTheme="minorHAnsi" w:eastAsiaTheme="minorEastAsia" w:hAnsiTheme="minorHAnsi"/>
              <w:noProof/>
              <w:lang w:eastAsia="cs-CZ"/>
            </w:rPr>
          </w:pPr>
          <w:hyperlink w:anchor="_Toc45723474" w:history="1">
            <w:r w:rsidR="00C13BBE" w:rsidRPr="00AA7F4C">
              <w:rPr>
                <w:rStyle w:val="Hypertextovodkaz"/>
                <w:noProof/>
              </w:rPr>
              <w:t>a) charakteristika území, ve kterém se odstraňovaná stavba nachází, a zastavěného stavebního pozemku</w:t>
            </w:r>
            <w:r w:rsidR="00C13BBE">
              <w:rPr>
                <w:noProof/>
                <w:webHidden/>
              </w:rPr>
              <w:tab/>
            </w:r>
            <w:r w:rsidR="00C13BBE">
              <w:rPr>
                <w:noProof/>
                <w:webHidden/>
              </w:rPr>
              <w:fldChar w:fldCharType="begin"/>
            </w:r>
            <w:r w:rsidR="00C13BBE">
              <w:rPr>
                <w:noProof/>
                <w:webHidden/>
              </w:rPr>
              <w:instrText xml:space="preserve"> PAGEREF _Toc45723474 \h </w:instrText>
            </w:r>
            <w:r w:rsidR="00C13BBE">
              <w:rPr>
                <w:noProof/>
                <w:webHidden/>
              </w:rPr>
            </w:r>
            <w:r w:rsidR="00C13BBE">
              <w:rPr>
                <w:noProof/>
                <w:webHidden/>
              </w:rPr>
              <w:fldChar w:fldCharType="separate"/>
            </w:r>
            <w:r>
              <w:rPr>
                <w:noProof/>
                <w:webHidden/>
              </w:rPr>
              <w:t>5</w:t>
            </w:r>
            <w:r w:rsidR="00C13BBE">
              <w:rPr>
                <w:noProof/>
                <w:webHidden/>
              </w:rPr>
              <w:fldChar w:fldCharType="end"/>
            </w:r>
          </w:hyperlink>
        </w:p>
        <w:p w14:paraId="491FAF25" w14:textId="5345A2FA" w:rsidR="00C13BBE" w:rsidRDefault="009B1859">
          <w:pPr>
            <w:pStyle w:val="Obsah3"/>
            <w:tabs>
              <w:tab w:val="right" w:leader="dot" w:pos="9060"/>
            </w:tabs>
            <w:rPr>
              <w:rFonts w:asciiTheme="minorHAnsi" w:eastAsiaTheme="minorEastAsia" w:hAnsiTheme="minorHAnsi"/>
              <w:noProof/>
              <w:lang w:eastAsia="cs-CZ"/>
            </w:rPr>
          </w:pPr>
          <w:hyperlink w:anchor="_Toc45723475" w:history="1">
            <w:r w:rsidR="00C13BBE" w:rsidRPr="00AA7F4C">
              <w:rPr>
                <w:rStyle w:val="Hypertextovodkaz"/>
                <w:rFonts w:eastAsia="Times New Roman"/>
                <w:iCs/>
                <w:noProof/>
                <w:lang w:eastAsia="cs-CZ"/>
              </w:rPr>
              <w:t>b) stávající ochranná a bezpečnostní pásma</w:t>
            </w:r>
            <w:r w:rsidR="00C13BBE">
              <w:rPr>
                <w:noProof/>
                <w:webHidden/>
              </w:rPr>
              <w:tab/>
            </w:r>
            <w:r w:rsidR="00C13BBE">
              <w:rPr>
                <w:noProof/>
                <w:webHidden/>
              </w:rPr>
              <w:fldChar w:fldCharType="begin"/>
            </w:r>
            <w:r w:rsidR="00C13BBE">
              <w:rPr>
                <w:noProof/>
                <w:webHidden/>
              </w:rPr>
              <w:instrText xml:space="preserve"> PAGEREF _Toc45723475 \h </w:instrText>
            </w:r>
            <w:r w:rsidR="00C13BBE">
              <w:rPr>
                <w:noProof/>
                <w:webHidden/>
              </w:rPr>
            </w:r>
            <w:r w:rsidR="00C13BBE">
              <w:rPr>
                <w:noProof/>
                <w:webHidden/>
              </w:rPr>
              <w:fldChar w:fldCharType="separate"/>
            </w:r>
            <w:r>
              <w:rPr>
                <w:noProof/>
                <w:webHidden/>
              </w:rPr>
              <w:t>5</w:t>
            </w:r>
            <w:r w:rsidR="00C13BBE">
              <w:rPr>
                <w:noProof/>
                <w:webHidden/>
              </w:rPr>
              <w:fldChar w:fldCharType="end"/>
            </w:r>
          </w:hyperlink>
        </w:p>
        <w:p w14:paraId="5F8EFAFA" w14:textId="1D2EA016" w:rsidR="00C13BBE" w:rsidRDefault="009B1859">
          <w:pPr>
            <w:pStyle w:val="Obsah3"/>
            <w:tabs>
              <w:tab w:val="right" w:leader="dot" w:pos="9060"/>
            </w:tabs>
            <w:rPr>
              <w:rFonts w:asciiTheme="minorHAnsi" w:eastAsiaTheme="minorEastAsia" w:hAnsiTheme="minorHAnsi"/>
              <w:noProof/>
              <w:lang w:eastAsia="cs-CZ"/>
            </w:rPr>
          </w:pPr>
          <w:hyperlink w:anchor="_Toc45723476" w:history="1">
            <w:r w:rsidR="00C13BBE" w:rsidRPr="00AA7F4C">
              <w:rPr>
                <w:rStyle w:val="Hypertextovodkaz"/>
                <w:rFonts w:eastAsia="Times New Roman"/>
                <w:iCs/>
                <w:noProof/>
                <w:lang w:eastAsia="cs-CZ"/>
              </w:rPr>
              <w:t>c) ochrana území podle jiných právních předpisů</w:t>
            </w:r>
            <w:r w:rsidR="00C13BBE">
              <w:rPr>
                <w:noProof/>
                <w:webHidden/>
              </w:rPr>
              <w:tab/>
            </w:r>
            <w:r w:rsidR="00C13BBE">
              <w:rPr>
                <w:noProof/>
                <w:webHidden/>
              </w:rPr>
              <w:fldChar w:fldCharType="begin"/>
            </w:r>
            <w:r w:rsidR="00C13BBE">
              <w:rPr>
                <w:noProof/>
                <w:webHidden/>
              </w:rPr>
              <w:instrText xml:space="preserve"> PAGEREF _Toc45723476 \h </w:instrText>
            </w:r>
            <w:r w:rsidR="00C13BBE">
              <w:rPr>
                <w:noProof/>
                <w:webHidden/>
              </w:rPr>
            </w:r>
            <w:r w:rsidR="00C13BBE">
              <w:rPr>
                <w:noProof/>
                <w:webHidden/>
              </w:rPr>
              <w:fldChar w:fldCharType="separate"/>
            </w:r>
            <w:r>
              <w:rPr>
                <w:noProof/>
                <w:webHidden/>
              </w:rPr>
              <w:t>5</w:t>
            </w:r>
            <w:r w:rsidR="00C13BBE">
              <w:rPr>
                <w:noProof/>
                <w:webHidden/>
              </w:rPr>
              <w:fldChar w:fldCharType="end"/>
            </w:r>
          </w:hyperlink>
        </w:p>
        <w:p w14:paraId="0B3F2F2D" w14:textId="069803DB" w:rsidR="00C13BBE" w:rsidRDefault="009B1859">
          <w:pPr>
            <w:pStyle w:val="Obsah3"/>
            <w:tabs>
              <w:tab w:val="right" w:leader="dot" w:pos="9060"/>
            </w:tabs>
            <w:rPr>
              <w:rFonts w:asciiTheme="minorHAnsi" w:eastAsiaTheme="minorEastAsia" w:hAnsiTheme="minorHAnsi"/>
              <w:noProof/>
              <w:lang w:eastAsia="cs-CZ"/>
            </w:rPr>
          </w:pPr>
          <w:hyperlink w:anchor="_Toc45723477" w:history="1">
            <w:r w:rsidR="00C13BBE" w:rsidRPr="00AA7F4C">
              <w:rPr>
                <w:rStyle w:val="Hypertextovodkaz"/>
                <w:rFonts w:eastAsia="Times New Roman"/>
                <w:iCs/>
                <w:noProof/>
                <w:lang w:eastAsia="cs-CZ"/>
              </w:rPr>
              <w:t>d) poloha vzhledem k záplavovému území, poddolovanému území apod.</w:t>
            </w:r>
            <w:r w:rsidR="00C13BBE">
              <w:rPr>
                <w:noProof/>
                <w:webHidden/>
              </w:rPr>
              <w:tab/>
            </w:r>
            <w:r w:rsidR="00C13BBE">
              <w:rPr>
                <w:noProof/>
                <w:webHidden/>
              </w:rPr>
              <w:fldChar w:fldCharType="begin"/>
            </w:r>
            <w:r w:rsidR="00C13BBE">
              <w:rPr>
                <w:noProof/>
                <w:webHidden/>
              </w:rPr>
              <w:instrText xml:space="preserve"> PAGEREF _Toc45723477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12018979" w14:textId="5F09AC68" w:rsidR="00C13BBE" w:rsidRDefault="009B1859">
          <w:pPr>
            <w:pStyle w:val="Obsah3"/>
            <w:tabs>
              <w:tab w:val="right" w:leader="dot" w:pos="9060"/>
            </w:tabs>
            <w:rPr>
              <w:rFonts w:asciiTheme="minorHAnsi" w:eastAsiaTheme="minorEastAsia" w:hAnsiTheme="minorHAnsi"/>
              <w:noProof/>
              <w:lang w:eastAsia="cs-CZ"/>
            </w:rPr>
          </w:pPr>
          <w:hyperlink w:anchor="_Toc45723478" w:history="1">
            <w:r w:rsidR="00C13BBE" w:rsidRPr="00AA7F4C">
              <w:rPr>
                <w:rStyle w:val="Hypertextovodkaz"/>
                <w:noProof/>
              </w:rPr>
              <w:t>e) vliv odstranění stavby na okolní stavby a pozemky, ochrana okolí, vliv odstranění stavby na odtokové poměry, vliv odstranění stavby na požární bezpečnost okolních staveb a pozemků</w:t>
            </w:r>
            <w:r w:rsidR="00C13BBE">
              <w:rPr>
                <w:noProof/>
                <w:webHidden/>
              </w:rPr>
              <w:tab/>
            </w:r>
            <w:r w:rsidR="00C13BBE">
              <w:rPr>
                <w:noProof/>
                <w:webHidden/>
              </w:rPr>
              <w:fldChar w:fldCharType="begin"/>
            </w:r>
            <w:r w:rsidR="00C13BBE">
              <w:rPr>
                <w:noProof/>
                <w:webHidden/>
              </w:rPr>
              <w:instrText xml:space="preserve"> PAGEREF _Toc45723478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60039C4E" w14:textId="483E4E1E" w:rsidR="00C13BBE" w:rsidRDefault="009B1859">
          <w:pPr>
            <w:pStyle w:val="Obsah3"/>
            <w:tabs>
              <w:tab w:val="right" w:leader="dot" w:pos="9060"/>
            </w:tabs>
            <w:rPr>
              <w:rFonts w:asciiTheme="minorHAnsi" w:eastAsiaTheme="minorEastAsia" w:hAnsiTheme="minorHAnsi"/>
              <w:noProof/>
              <w:lang w:eastAsia="cs-CZ"/>
            </w:rPr>
          </w:pPr>
          <w:hyperlink w:anchor="_Toc45723479" w:history="1">
            <w:r w:rsidR="00C13BBE" w:rsidRPr="00AA7F4C">
              <w:rPr>
                <w:rStyle w:val="Hypertextovodkaz"/>
                <w:noProof/>
              </w:rPr>
              <w:t>f) zhodnocení kontaminace prostoru stavby látkami škodlivými pro životní prostředí v případě jejich výskytu</w:t>
            </w:r>
            <w:r w:rsidR="00C13BBE">
              <w:rPr>
                <w:noProof/>
                <w:webHidden/>
              </w:rPr>
              <w:tab/>
            </w:r>
            <w:r w:rsidR="00C13BBE">
              <w:rPr>
                <w:noProof/>
                <w:webHidden/>
              </w:rPr>
              <w:fldChar w:fldCharType="begin"/>
            </w:r>
            <w:r w:rsidR="00C13BBE">
              <w:rPr>
                <w:noProof/>
                <w:webHidden/>
              </w:rPr>
              <w:instrText xml:space="preserve"> PAGEREF _Toc45723479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059042C4" w14:textId="6D49A2DD" w:rsidR="00C13BBE" w:rsidRDefault="009B1859">
          <w:pPr>
            <w:pStyle w:val="Obsah3"/>
            <w:tabs>
              <w:tab w:val="right" w:leader="dot" w:pos="9060"/>
            </w:tabs>
            <w:rPr>
              <w:rFonts w:asciiTheme="minorHAnsi" w:eastAsiaTheme="minorEastAsia" w:hAnsiTheme="minorHAnsi"/>
              <w:noProof/>
              <w:lang w:eastAsia="cs-CZ"/>
            </w:rPr>
          </w:pPr>
          <w:hyperlink w:anchor="_Toc45723480" w:history="1">
            <w:r w:rsidR="00C13BBE" w:rsidRPr="00AA7F4C">
              <w:rPr>
                <w:rStyle w:val="Hypertextovodkaz"/>
                <w:rFonts w:eastAsia="Times New Roman"/>
                <w:iCs/>
                <w:noProof/>
                <w:lang w:eastAsia="cs-CZ"/>
              </w:rPr>
              <w:t>g) požadavky na kácení dřevin</w:t>
            </w:r>
            <w:r w:rsidR="00C13BBE">
              <w:rPr>
                <w:noProof/>
                <w:webHidden/>
              </w:rPr>
              <w:tab/>
            </w:r>
            <w:r w:rsidR="00C13BBE">
              <w:rPr>
                <w:noProof/>
                <w:webHidden/>
              </w:rPr>
              <w:fldChar w:fldCharType="begin"/>
            </w:r>
            <w:r w:rsidR="00C13BBE">
              <w:rPr>
                <w:noProof/>
                <w:webHidden/>
              </w:rPr>
              <w:instrText xml:space="preserve"> PAGEREF _Toc45723480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0A5E184C" w14:textId="5D319FFC" w:rsidR="00C13BBE" w:rsidRDefault="009B1859">
          <w:pPr>
            <w:pStyle w:val="Obsah3"/>
            <w:tabs>
              <w:tab w:val="right" w:leader="dot" w:pos="9060"/>
            </w:tabs>
            <w:rPr>
              <w:rFonts w:asciiTheme="minorHAnsi" w:eastAsiaTheme="minorEastAsia" w:hAnsiTheme="minorHAnsi"/>
              <w:noProof/>
              <w:lang w:eastAsia="cs-CZ"/>
            </w:rPr>
          </w:pPr>
          <w:hyperlink w:anchor="_Toc45723481" w:history="1">
            <w:r w:rsidR="00C13BBE" w:rsidRPr="00AA7F4C">
              <w:rPr>
                <w:rStyle w:val="Hypertextovodkaz"/>
                <w:rFonts w:eastAsia="Times New Roman"/>
                <w:iCs/>
                <w:noProof/>
                <w:lang w:eastAsia="cs-CZ"/>
              </w:rPr>
              <w:t>h) věcné a časové vazby stavby, podmiňující, vyvolané, související investice</w:t>
            </w:r>
            <w:r w:rsidR="00C13BBE">
              <w:rPr>
                <w:noProof/>
                <w:webHidden/>
              </w:rPr>
              <w:tab/>
            </w:r>
            <w:r w:rsidR="00C13BBE">
              <w:rPr>
                <w:noProof/>
                <w:webHidden/>
              </w:rPr>
              <w:fldChar w:fldCharType="begin"/>
            </w:r>
            <w:r w:rsidR="00C13BBE">
              <w:rPr>
                <w:noProof/>
                <w:webHidden/>
              </w:rPr>
              <w:instrText xml:space="preserve"> PAGEREF _Toc45723481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56D6CCD6" w14:textId="6E6AB00A" w:rsidR="00C13BBE" w:rsidRDefault="009B1859">
          <w:pPr>
            <w:pStyle w:val="Obsah3"/>
            <w:tabs>
              <w:tab w:val="right" w:leader="dot" w:pos="9060"/>
            </w:tabs>
            <w:rPr>
              <w:rFonts w:asciiTheme="minorHAnsi" w:eastAsiaTheme="minorEastAsia" w:hAnsiTheme="minorHAnsi"/>
              <w:noProof/>
              <w:lang w:eastAsia="cs-CZ"/>
            </w:rPr>
          </w:pPr>
          <w:hyperlink w:anchor="_Toc45723482" w:history="1">
            <w:r w:rsidR="00C13BBE" w:rsidRPr="00AA7F4C">
              <w:rPr>
                <w:rStyle w:val="Hypertextovodkaz"/>
                <w:rFonts w:eastAsia="Times New Roman"/>
                <w:iCs/>
                <w:noProof/>
                <w:lang w:eastAsia="cs-CZ"/>
              </w:rPr>
              <w:t>i) seznam sousedících pozemků podle katastru nemovitostí nezbytných k provedení bouracích prací</w:t>
            </w:r>
            <w:r w:rsidR="00C13BBE">
              <w:rPr>
                <w:noProof/>
                <w:webHidden/>
              </w:rPr>
              <w:tab/>
            </w:r>
            <w:r w:rsidR="00C13BBE">
              <w:rPr>
                <w:noProof/>
                <w:webHidden/>
              </w:rPr>
              <w:fldChar w:fldCharType="begin"/>
            </w:r>
            <w:r w:rsidR="00C13BBE">
              <w:rPr>
                <w:noProof/>
                <w:webHidden/>
              </w:rPr>
              <w:instrText xml:space="preserve"> PAGEREF _Toc45723482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097D148C" w14:textId="5BD4185A" w:rsidR="00C13BBE" w:rsidRDefault="009B1859">
          <w:pPr>
            <w:pStyle w:val="Obsah2"/>
            <w:tabs>
              <w:tab w:val="left" w:pos="880"/>
              <w:tab w:val="right" w:leader="dot" w:pos="9060"/>
            </w:tabs>
            <w:rPr>
              <w:rFonts w:asciiTheme="minorHAnsi" w:eastAsiaTheme="minorEastAsia" w:hAnsiTheme="minorHAnsi"/>
              <w:noProof/>
              <w:lang w:eastAsia="cs-CZ"/>
            </w:rPr>
          </w:pPr>
          <w:hyperlink w:anchor="_Toc45723483" w:history="1">
            <w:r w:rsidR="00C13BBE" w:rsidRPr="00AA7F4C">
              <w:rPr>
                <w:rStyle w:val="Hypertextovodkaz"/>
                <w:rFonts w:eastAsia="Times New Roman"/>
                <w:noProof/>
                <w:lang w:eastAsia="cs-CZ"/>
              </w:rPr>
              <w:t>B.2</w:t>
            </w:r>
            <w:r w:rsidR="00C13BBE">
              <w:rPr>
                <w:rFonts w:asciiTheme="minorHAnsi" w:eastAsiaTheme="minorEastAsia" w:hAnsiTheme="minorHAnsi"/>
                <w:noProof/>
                <w:lang w:eastAsia="cs-CZ"/>
              </w:rPr>
              <w:tab/>
            </w:r>
            <w:r w:rsidR="00C13BBE" w:rsidRPr="00AA7F4C">
              <w:rPr>
                <w:rStyle w:val="Hypertextovodkaz"/>
                <w:rFonts w:eastAsia="Times New Roman"/>
                <w:noProof/>
                <w:lang w:eastAsia="cs-CZ"/>
              </w:rPr>
              <w:t>Celkový popis stavby</w:t>
            </w:r>
            <w:r w:rsidR="00C13BBE">
              <w:rPr>
                <w:noProof/>
                <w:webHidden/>
              </w:rPr>
              <w:tab/>
            </w:r>
            <w:r w:rsidR="00C13BBE">
              <w:rPr>
                <w:noProof/>
                <w:webHidden/>
              </w:rPr>
              <w:fldChar w:fldCharType="begin"/>
            </w:r>
            <w:r w:rsidR="00C13BBE">
              <w:rPr>
                <w:noProof/>
                <w:webHidden/>
              </w:rPr>
              <w:instrText xml:space="preserve"> PAGEREF _Toc45723483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1E89FA6E" w14:textId="7727E7BC" w:rsidR="00C13BBE" w:rsidRDefault="009B1859">
          <w:pPr>
            <w:pStyle w:val="Obsah3"/>
            <w:tabs>
              <w:tab w:val="right" w:leader="dot" w:pos="9060"/>
            </w:tabs>
            <w:rPr>
              <w:rFonts w:asciiTheme="minorHAnsi" w:eastAsiaTheme="minorEastAsia" w:hAnsiTheme="minorHAnsi"/>
              <w:noProof/>
              <w:lang w:eastAsia="cs-CZ"/>
            </w:rPr>
          </w:pPr>
          <w:hyperlink w:anchor="_Toc45723484" w:history="1">
            <w:r w:rsidR="00C13BBE" w:rsidRPr="00AA7F4C">
              <w:rPr>
                <w:rStyle w:val="Hypertextovodkaz"/>
                <w:rFonts w:eastAsia="Times New Roman"/>
                <w:noProof/>
                <w:lang w:eastAsia="cs-CZ"/>
              </w:rPr>
              <w:t>a) druh a účel užívání odstraňované stavby</w:t>
            </w:r>
            <w:r w:rsidR="00C13BBE">
              <w:rPr>
                <w:noProof/>
                <w:webHidden/>
              </w:rPr>
              <w:tab/>
            </w:r>
            <w:r w:rsidR="00C13BBE">
              <w:rPr>
                <w:noProof/>
                <w:webHidden/>
              </w:rPr>
              <w:fldChar w:fldCharType="begin"/>
            </w:r>
            <w:r w:rsidR="00C13BBE">
              <w:rPr>
                <w:noProof/>
                <w:webHidden/>
              </w:rPr>
              <w:instrText xml:space="preserve"> PAGEREF _Toc45723484 \h </w:instrText>
            </w:r>
            <w:r w:rsidR="00C13BBE">
              <w:rPr>
                <w:noProof/>
                <w:webHidden/>
              </w:rPr>
            </w:r>
            <w:r w:rsidR="00C13BBE">
              <w:rPr>
                <w:noProof/>
                <w:webHidden/>
              </w:rPr>
              <w:fldChar w:fldCharType="separate"/>
            </w:r>
            <w:r>
              <w:rPr>
                <w:noProof/>
                <w:webHidden/>
              </w:rPr>
              <w:t>6</w:t>
            </w:r>
            <w:r w:rsidR="00C13BBE">
              <w:rPr>
                <w:noProof/>
                <w:webHidden/>
              </w:rPr>
              <w:fldChar w:fldCharType="end"/>
            </w:r>
          </w:hyperlink>
        </w:p>
        <w:p w14:paraId="2E5910F3" w14:textId="728D9A78" w:rsidR="00C13BBE" w:rsidRDefault="009B1859">
          <w:pPr>
            <w:pStyle w:val="Obsah3"/>
            <w:tabs>
              <w:tab w:val="right" w:leader="dot" w:pos="9060"/>
            </w:tabs>
            <w:rPr>
              <w:rFonts w:asciiTheme="minorHAnsi" w:eastAsiaTheme="minorEastAsia" w:hAnsiTheme="minorHAnsi"/>
              <w:noProof/>
              <w:lang w:eastAsia="cs-CZ"/>
            </w:rPr>
          </w:pPr>
          <w:hyperlink w:anchor="_Toc45723485" w:history="1">
            <w:r w:rsidR="00C13BBE" w:rsidRPr="00AA7F4C">
              <w:rPr>
                <w:rStyle w:val="Hypertextovodkaz"/>
                <w:rFonts w:eastAsia="Times New Roman"/>
                <w:noProof/>
                <w:lang w:eastAsia="cs-CZ"/>
              </w:rPr>
              <w:t>b) informace o tom, zda a v jakých částech dokumentace jsou zohledněny podmínky závazných stanovisek dotčených orgánů</w:t>
            </w:r>
            <w:r w:rsidR="00C13BBE">
              <w:rPr>
                <w:noProof/>
                <w:webHidden/>
              </w:rPr>
              <w:tab/>
            </w:r>
            <w:r w:rsidR="00C13BBE">
              <w:rPr>
                <w:noProof/>
                <w:webHidden/>
              </w:rPr>
              <w:fldChar w:fldCharType="begin"/>
            </w:r>
            <w:r w:rsidR="00C13BBE">
              <w:rPr>
                <w:noProof/>
                <w:webHidden/>
              </w:rPr>
              <w:instrText xml:space="preserve"> PAGEREF _Toc45723485 \h </w:instrText>
            </w:r>
            <w:r w:rsidR="00C13BBE">
              <w:rPr>
                <w:noProof/>
                <w:webHidden/>
              </w:rPr>
            </w:r>
            <w:r w:rsidR="00C13BBE">
              <w:rPr>
                <w:noProof/>
                <w:webHidden/>
              </w:rPr>
              <w:fldChar w:fldCharType="separate"/>
            </w:r>
            <w:r>
              <w:rPr>
                <w:noProof/>
                <w:webHidden/>
              </w:rPr>
              <w:t>7</w:t>
            </w:r>
            <w:r w:rsidR="00C13BBE">
              <w:rPr>
                <w:noProof/>
                <w:webHidden/>
              </w:rPr>
              <w:fldChar w:fldCharType="end"/>
            </w:r>
          </w:hyperlink>
        </w:p>
        <w:p w14:paraId="29EBFC97" w14:textId="6DD3FC34" w:rsidR="00C13BBE" w:rsidRDefault="009B1859">
          <w:pPr>
            <w:pStyle w:val="Obsah3"/>
            <w:tabs>
              <w:tab w:val="right" w:leader="dot" w:pos="9060"/>
            </w:tabs>
            <w:rPr>
              <w:rFonts w:asciiTheme="minorHAnsi" w:eastAsiaTheme="minorEastAsia" w:hAnsiTheme="minorHAnsi"/>
              <w:noProof/>
              <w:lang w:eastAsia="cs-CZ"/>
            </w:rPr>
          </w:pPr>
          <w:hyperlink w:anchor="_Toc45723486" w:history="1">
            <w:r w:rsidR="00C13BBE" w:rsidRPr="00AA7F4C">
              <w:rPr>
                <w:rStyle w:val="Hypertextovodkaz"/>
                <w:rFonts w:eastAsia="Times New Roman"/>
                <w:noProof/>
                <w:lang w:eastAsia="cs-CZ"/>
              </w:rPr>
              <w:t>c) ochrana odstraňované stavby podle jiných právních předpisů</w:t>
            </w:r>
            <w:r w:rsidR="00C13BBE">
              <w:rPr>
                <w:noProof/>
                <w:webHidden/>
              </w:rPr>
              <w:tab/>
            </w:r>
            <w:r w:rsidR="00C13BBE">
              <w:rPr>
                <w:noProof/>
                <w:webHidden/>
              </w:rPr>
              <w:fldChar w:fldCharType="begin"/>
            </w:r>
            <w:r w:rsidR="00C13BBE">
              <w:rPr>
                <w:noProof/>
                <w:webHidden/>
              </w:rPr>
              <w:instrText xml:space="preserve"> PAGEREF _Toc45723486 \h </w:instrText>
            </w:r>
            <w:r w:rsidR="00C13BBE">
              <w:rPr>
                <w:noProof/>
                <w:webHidden/>
              </w:rPr>
            </w:r>
            <w:r w:rsidR="00C13BBE">
              <w:rPr>
                <w:noProof/>
                <w:webHidden/>
              </w:rPr>
              <w:fldChar w:fldCharType="separate"/>
            </w:r>
            <w:r>
              <w:rPr>
                <w:noProof/>
                <w:webHidden/>
              </w:rPr>
              <w:t>7</w:t>
            </w:r>
            <w:r w:rsidR="00C13BBE">
              <w:rPr>
                <w:noProof/>
                <w:webHidden/>
              </w:rPr>
              <w:fldChar w:fldCharType="end"/>
            </w:r>
          </w:hyperlink>
        </w:p>
        <w:p w14:paraId="5D45FD2D" w14:textId="48C41F76" w:rsidR="00C13BBE" w:rsidRDefault="009B1859">
          <w:pPr>
            <w:pStyle w:val="Obsah3"/>
            <w:tabs>
              <w:tab w:val="right" w:leader="dot" w:pos="9060"/>
            </w:tabs>
            <w:rPr>
              <w:rFonts w:asciiTheme="minorHAnsi" w:eastAsiaTheme="minorEastAsia" w:hAnsiTheme="minorHAnsi"/>
              <w:noProof/>
              <w:lang w:eastAsia="cs-CZ"/>
            </w:rPr>
          </w:pPr>
          <w:hyperlink w:anchor="_Toc45723487" w:history="1">
            <w:r w:rsidR="00C13BBE" w:rsidRPr="00AA7F4C">
              <w:rPr>
                <w:rStyle w:val="Hypertextovodkaz"/>
                <w:rFonts w:eastAsia="Times New Roman"/>
                <w:noProof/>
                <w:lang w:eastAsia="cs-CZ"/>
              </w:rPr>
              <w:t>d) stávající parametry odstraňované stavby – zastavěná plocha, obestavěný prostor, počet funkčních jednotek; u stavby obsahující byty – celková podlahová plocha budovy, počet a velikost zanikajících bytů, obytná a užitková plocha zanikajících bytů</w:t>
            </w:r>
            <w:r w:rsidR="00C13BBE">
              <w:rPr>
                <w:noProof/>
                <w:webHidden/>
              </w:rPr>
              <w:tab/>
            </w:r>
            <w:r w:rsidR="00C13BBE">
              <w:rPr>
                <w:noProof/>
                <w:webHidden/>
              </w:rPr>
              <w:fldChar w:fldCharType="begin"/>
            </w:r>
            <w:r w:rsidR="00C13BBE">
              <w:rPr>
                <w:noProof/>
                <w:webHidden/>
              </w:rPr>
              <w:instrText xml:space="preserve"> PAGEREF _Toc45723487 \h </w:instrText>
            </w:r>
            <w:r w:rsidR="00C13BBE">
              <w:rPr>
                <w:noProof/>
                <w:webHidden/>
              </w:rPr>
            </w:r>
            <w:r w:rsidR="00C13BBE">
              <w:rPr>
                <w:noProof/>
                <w:webHidden/>
              </w:rPr>
              <w:fldChar w:fldCharType="separate"/>
            </w:r>
            <w:r>
              <w:rPr>
                <w:noProof/>
                <w:webHidden/>
              </w:rPr>
              <w:t>7</w:t>
            </w:r>
            <w:r w:rsidR="00C13BBE">
              <w:rPr>
                <w:noProof/>
                <w:webHidden/>
              </w:rPr>
              <w:fldChar w:fldCharType="end"/>
            </w:r>
          </w:hyperlink>
        </w:p>
        <w:p w14:paraId="610E9CC2" w14:textId="0D0F1C41" w:rsidR="00C13BBE" w:rsidRDefault="009B1859">
          <w:pPr>
            <w:pStyle w:val="Obsah3"/>
            <w:tabs>
              <w:tab w:val="right" w:leader="dot" w:pos="9060"/>
            </w:tabs>
            <w:rPr>
              <w:rFonts w:asciiTheme="minorHAnsi" w:eastAsiaTheme="minorEastAsia" w:hAnsiTheme="minorHAnsi"/>
              <w:noProof/>
              <w:lang w:eastAsia="cs-CZ"/>
            </w:rPr>
          </w:pPr>
          <w:hyperlink w:anchor="_Toc45723488" w:history="1">
            <w:r w:rsidR="00C13BBE" w:rsidRPr="00AA7F4C">
              <w:rPr>
                <w:rStyle w:val="Hypertextovodkaz"/>
                <w:rFonts w:eastAsia="Times New Roman"/>
                <w:noProof/>
                <w:lang w:eastAsia="cs-CZ"/>
              </w:rPr>
              <w:t>e) základní předpoklady pro odstranění stavby – časové údaje o průběhu prací, členění na etapy, orientační náklady, předpokládaný způsob odstranění stavby</w:t>
            </w:r>
            <w:r w:rsidR="00C13BBE">
              <w:rPr>
                <w:noProof/>
                <w:webHidden/>
              </w:rPr>
              <w:tab/>
            </w:r>
            <w:r w:rsidR="00C13BBE">
              <w:rPr>
                <w:noProof/>
                <w:webHidden/>
              </w:rPr>
              <w:fldChar w:fldCharType="begin"/>
            </w:r>
            <w:r w:rsidR="00C13BBE">
              <w:rPr>
                <w:noProof/>
                <w:webHidden/>
              </w:rPr>
              <w:instrText xml:space="preserve"> PAGEREF _Toc45723488 \h </w:instrText>
            </w:r>
            <w:r w:rsidR="00C13BBE">
              <w:rPr>
                <w:noProof/>
                <w:webHidden/>
              </w:rPr>
            </w:r>
            <w:r w:rsidR="00C13BBE">
              <w:rPr>
                <w:noProof/>
                <w:webHidden/>
              </w:rPr>
              <w:fldChar w:fldCharType="separate"/>
            </w:r>
            <w:r>
              <w:rPr>
                <w:noProof/>
                <w:webHidden/>
              </w:rPr>
              <w:t>7</w:t>
            </w:r>
            <w:r w:rsidR="00C13BBE">
              <w:rPr>
                <w:noProof/>
                <w:webHidden/>
              </w:rPr>
              <w:fldChar w:fldCharType="end"/>
            </w:r>
          </w:hyperlink>
        </w:p>
        <w:p w14:paraId="08A0B085" w14:textId="14D97DC5" w:rsidR="00C13BBE" w:rsidRDefault="009B1859">
          <w:pPr>
            <w:pStyle w:val="Obsah3"/>
            <w:tabs>
              <w:tab w:val="right" w:leader="dot" w:pos="9060"/>
            </w:tabs>
            <w:rPr>
              <w:rFonts w:asciiTheme="minorHAnsi" w:eastAsiaTheme="minorEastAsia" w:hAnsiTheme="minorHAnsi"/>
              <w:noProof/>
              <w:lang w:eastAsia="cs-CZ"/>
            </w:rPr>
          </w:pPr>
          <w:hyperlink w:anchor="_Toc45723489" w:history="1">
            <w:r w:rsidR="00C13BBE" w:rsidRPr="00AA7F4C">
              <w:rPr>
                <w:rStyle w:val="Hypertextovodkaz"/>
                <w:rFonts w:eastAsia="Times New Roman"/>
                <w:noProof/>
                <w:lang w:eastAsia="cs-CZ"/>
              </w:rPr>
              <w:t>f) stručný popis stavebních nebo inženýrských objektů a jejich konstrukcí</w:t>
            </w:r>
            <w:r w:rsidR="00C13BBE">
              <w:rPr>
                <w:noProof/>
                <w:webHidden/>
              </w:rPr>
              <w:tab/>
            </w:r>
            <w:r w:rsidR="00C13BBE">
              <w:rPr>
                <w:noProof/>
                <w:webHidden/>
              </w:rPr>
              <w:fldChar w:fldCharType="begin"/>
            </w:r>
            <w:r w:rsidR="00C13BBE">
              <w:rPr>
                <w:noProof/>
                <w:webHidden/>
              </w:rPr>
              <w:instrText xml:space="preserve"> PAGEREF _Toc45723489 \h </w:instrText>
            </w:r>
            <w:r w:rsidR="00C13BBE">
              <w:rPr>
                <w:noProof/>
                <w:webHidden/>
              </w:rPr>
            </w:r>
            <w:r w:rsidR="00C13BBE">
              <w:rPr>
                <w:noProof/>
                <w:webHidden/>
              </w:rPr>
              <w:fldChar w:fldCharType="separate"/>
            </w:r>
            <w:r>
              <w:rPr>
                <w:noProof/>
                <w:webHidden/>
              </w:rPr>
              <w:t>8</w:t>
            </w:r>
            <w:r w:rsidR="00C13BBE">
              <w:rPr>
                <w:noProof/>
                <w:webHidden/>
              </w:rPr>
              <w:fldChar w:fldCharType="end"/>
            </w:r>
          </w:hyperlink>
        </w:p>
        <w:p w14:paraId="17A0A354" w14:textId="72B33CF9" w:rsidR="00C13BBE" w:rsidRDefault="009B1859">
          <w:pPr>
            <w:pStyle w:val="Obsah3"/>
            <w:tabs>
              <w:tab w:val="right" w:leader="dot" w:pos="9060"/>
            </w:tabs>
            <w:rPr>
              <w:rFonts w:asciiTheme="minorHAnsi" w:eastAsiaTheme="minorEastAsia" w:hAnsiTheme="minorHAnsi"/>
              <w:noProof/>
              <w:lang w:eastAsia="cs-CZ"/>
            </w:rPr>
          </w:pPr>
          <w:hyperlink w:anchor="_Toc45723490" w:history="1">
            <w:r w:rsidR="00C13BBE" w:rsidRPr="00AA7F4C">
              <w:rPr>
                <w:rStyle w:val="Hypertextovodkaz"/>
                <w:rFonts w:eastAsia="Times New Roman"/>
                <w:noProof/>
                <w:lang w:eastAsia="cs-CZ"/>
              </w:rPr>
              <w:t>g) stručný popis technických nebo technologických zařízení</w:t>
            </w:r>
            <w:r w:rsidR="00C13BBE">
              <w:rPr>
                <w:noProof/>
                <w:webHidden/>
              </w:rPr>
              <w:tab/>
            </w:r>
            <w:r w:rsidR="00C13BBE">
              <w:rPr>
                <w:noProof/>
                <w:webHidden/>
              </w:rPr>
              <w:fldChar w:fldCharType="begin"/>
            </w:r>
            <w:r w:rsidR="00C13BBE">
              <w:rPr>
                <w:noProof/>
                <w:webHidden/>
              </w:rPr>
              <w:instrText xml:space="preserve"> PAGEREF _Toc45723490 \h </w:instrText>
            </w:r>
            <w:r w:rsidR="00C13BBE">
              <w:rPr>
                <w:noProof/>
                <w:webHidden/>
              </w:rPr>
            </w:r>
            <w:r w:rsidR="00C13BBE">
              <w:rPr>
                <w:noProof/>
                <w:webHidden/>
              </w:rPr>
              <w:fldChar w:fldCharType="separate"/>
            </w:r>
            <w:r>
              <w:rPr>
                <w:noProof/>
                <w:webHidden/>
              </w:rPr>
              <w:t>8</w:t>
            </w:r>
            <w:r w:rsidR="00C13BBE">
              <w:rPr>
                <w:noProof/>
                <w:webHidden/>
              </w:rPr>
              <w:fldChar w:fldCharType="end"/>
            </w:r>
          </w:hyperlink>
        </w:p>
        <w:p w14:paraId="08A68C29" w14:textId="1933DE14" w:rsidR="00C13BBE" w:rsidRDefault="009B1859">
          <w:pPr>
            <w:pStyle w:val="Obsah3"/>
            <w:tabs>
              <w:tab w:val="right" w:leader="dot" w:pos="9060"/>
            </w:tabs>
            <w:rPr>
              <w:rFonts w:asciiTheme="minorHAnsi" w:eastAsiaTheme="minorEastAsia" w:hAnsiTheme="minorHAnsi"/>
              <w:noProof/>
              <w:lang w:eastAsia="cs-CZ"/>
            </w:rPr>
          </w:pPr>
          <w:hyperlink w:anchor="_Toc45723491" w:history="1">
            <w:r w:rsidR="00C13BBE" w:rsidRPr="00AA7F4C">
              <w:rPr>
                <w:rStyle w:val="Hypertextovodkaz"/>
                <w:rFonts w:eastAsia="Times New Roman"/>
                <w:noProof/>
                <w:lang w:eastAsia="cs-CZ"/>
              </w:rPr>
              <w:t>h) výsledky stavebního průzkumu, přítomnost azbestu ve stavbě</w:t>
            </w:r>
            <w:r w:rsidR="00C13BBE">
              <w:rPr>
                <w:noProof/>
                <w:webHidden/>
              </w:rPr>
              <w:tab/>
            </w:r>
            <w:r w:rsidR="00C13BBE">
              <w:rPr>
                <w:noProof/>
                <w:webHidden/>
              </w:rPr>
              <w:fldChar w:fldCharType="begin"/>
            </w:r>
            <w:r w:rsidR="00C13BBE">
              <w:rPr>
                <w:noProof/>
                <w:webHidden/>
              </w:rPr>
              <w:instrText xml:space="preserve"> PAGEREF _Toc45723491 \h </w:instrText>
            </w:r>
            <w:r w:rsidR="00C13BBE">
              <w:rPr>
                <w:noProof/>
                <w:webHidden/>
              </w:rPr>
            </w:r>
            <w:r w:rsidR="00C13BBE">
              <w:rPr>
                <w:noProof/>
                <w:webHidden/>
              </w:rPr>
              <w:fldChar w:fldCharType="separate"/>
            </w:r>
            <w:r>
              <w:rPr>
                <w:noProof/>
                <w:webHidden/>
              </w:rPr>
              <w:t>9</w:t>
            </w:r>
            <w:r w:rsidR="00C13BBE">
              <w:rPr>
                <w:noProof/>
                <w:webHidden/>
              </w:rPr>
              <w:fldChar w:fldCharType="end"/>
            </w:r>
          </w:hyperlink>
        </w:p>
        <w:p w14:paraId="785BAEAC" w14:textId="7A66E883" w:rsidR="00C13BBE" w:rsidRDefault="009B1859">
          <w:pPr>
            <w:pStyle w:val="Obsah2"/>
            <w:tabs>
              <w:tab w:val="left" w:pos="880"/>
              <w:tab w:val="right" w:leader="dot" w:pos="9060"/>
            </w:tabs>
            <w:rPr>
              <w:rFonts w:asciiTheme="minorHAnsi" w:eastAsiaTheme="minorEastAsia" w:hAnsiTheme="minorHAnsi"/>
              <w:noProof/>
              <w:lang w:eastAsia="cs-CZ"/>
            </w:rPr>
          </w:pPr>
          <w:hyperlink w:anchor="_Toc45723492" w:history="1">
            <w:r w:rsidR="00C13BBE" w:rsidRPr="00AA7F4C">
              <w:rPr>
                <w:rStyle w:val="Hypertextovodkaz"/>
                <w:rFonts w:eastAsia="Times New Roman"/>
                <w:noProof/>
                <w:lang w:eastAsia="cs-CZ"/>
              </w:rPr>
              <w:t>B.3</w:t>
            </w:r>
            <w:r w:rsidR="00C13BBE">
              <w:rPr>
                <w:rFonts w:asciiTheme="minorHAnsi" w:eastAsiaTheme="minorEastAsia" w:hAnsiTheme="minorHAnsi"/>
                <w:noProof/>
                <w:lang w:eastAsia="cs-CZ"/>
              </w:rPr>
              <w:tab/>
            </w:r>
            <w:r w:rsidR="00C13BBE" w:rsidRPr="00AA7F4C">
              <w:rPr>
                <w:rStyle w:val="Hypertextovodkaz"/>
                <w:rFonts w:eastAsia="Times New Roman"/>
                <w:noProof/>
                <w:lang w:eastAsia="cs-CZ"/>
              </w:rPr>
              <w:t>Připojení na technickou infrastrukturu</w:t>
            </w:r>
            <w:r w:rsidR="00C13BBE">
              <w:rPr>
                <w:noProof/>
                <w:webHidden/>
              </w:rPr>
              <w:tab/>
            </w:r>
            <w:r w:rsidR="00C13BBE">
              <w:rPr>
                <w:noProof/>
                <w:webHidden/>
              </w:rPr>
              <w:fldChar w:fldCharType="begin"/>
            </w:r>
            <w:r w:rsidR="00C13BBE">
              <w:rPr>
                <w:noProof/>
                <w:webHidden/>
              </w:rPr>
              <w:instrText xml:space="preserve"> PAGEREF _Toc45723492 \h </w:instrText>
            </w:r>
            <w:r w:rsidR="00C13BBE">
              <w:rPr>
                <w:noProof/>
                <w:webHidden/>
              </w:rPr>
            </w:r>
            <w:r w:rsidR="00C13BBE">
              <w:rPr>
                <w:noProof/>
                <w:webHidden/>
              </w:rPr>
              <w:fldChar w:fldCharType="separate"/>
            </w:r>
            <w:r>
              <w:rPr>
                <w:noProof/>
                <w:webHidden/>
              </w:rPr>
              <w:t>9</w:t>
            </w:r>
            <w:r w:rsidR="00C13BBE">
              <w:rPr>
                <w:noProof/>
                <w:webHidden/>
              </w:rPr>
              <w:fldChar w:fldCharType="end"/>
            </w:r>
          </w:hyperlink>
        </w:p>
        <w:p w14:paraId="7048FC02" w14:textId="78FD2E21" w:rsidR="00C13BBE" w:rsidRDefault="009B1859">
          <w:pPr>
            <w:pStyle w:val="Obsah3"/>
            <w:tabs>
              <w:tab w:val="right" w:leader="dot" w:pos="9060"/>
            </w:tabs>
            <w:rPr>
              <w:rFonts w:asciiTheme="minorHAnsi" w:eastAsiaTheme="minorEastAsia" w:hAnsiTheme="minorHAnsi"/>
              <w:noProof/>
              <w:lang w:eastAsia="cs-CZ"/>
            </w:rPr>
          </w:pPr>
          <w:hyperlink w:anchor="_Toc45723493" w:history="1">
            <w:r w:rsidR="00C13BBE" w:rsidRPr="00AA7F4C">
              <w:rPr>
                <w:rStyle w:val="Hypertextovodkaz"/>
                <w:noProof/>
              </w:rPr>
              <w:t>a) napojovací místa technické infrastruktury</w:t>
            </w:r>
            <w:r w:rsidR="00C13BBE">
              <w:rPr>
                <w:noProof/>
                <w:webHidden/>
              </w:rPr>
              <w:tab/>
            </w:r>
            <w:r w:rsidR="00C13BBE">
              <w:rPr>
                <w:noProof/>
                <w:webHidden/>
              </w:rPr>
              <w:fldChar w:fldCharType="begin"/>
            </w:r>
            <w:r w:rsidR="00C13BBE">
              <w:rPr>
                <w:noProof/>
                <w:webHidden/>
              </w:rPr>
              <w:instrText xml:space="preserve"> PAGEREF _Toc45723493 \h </w:instrText>
            </w:r>
            <w:r w:rsidR="00C13BBE">
              <w:rPr>
                <w:noProof/>
                <w:webHidden/>
              </w:rPr>
            </w:r>
            <w:r w:rsidR="00C13BBE">
              <w:rPr>
                <w:noProof/>
                <w:webHidden/>
              </w:rPr>
              <w:fldChar w:fldCharType="separate"/>
            </w:r>
            <w:r>
              <w:rPr>
                <w:noProof/>
                <w:webHidden/>
              </w:rPr>
              <w:t>9</w:t>
            </w:r>
            <w:r w:rsidR="00C13BBE">
              <w:rPr>
                <w:noProof/>
                <w:webHidden/>
              </w:rPr>
              <w:fldChar w:fldCharType="end"/>
            </w:r>
          </w:hyperlink>
        </w:p>
        <w:p w14:paraId="3AF8DEEC" w14:textId="55559C35" w:rsidR="00C13BBE" w:rsidRDefault="009B1859">
          <w:pPr>
            <w:pStyle w:val="Obsah3"/>
            <w:tabs>
              <w:tab w:val="right" w:leader="dot" w:pos="9060"/>
            </w:tabs>
            <w:rPr>
              <w:rFonts w:asciiTheme="minorHAnsi" w:eastAsiaTheme="minorEastAsia" w:hAnsiTheme="minorHAnsi"/>
              <w:noProof/>
              <w:lang w:eastAsia="cs-CZ"/>
            </w:rPr>
          </w:pPr>
          <w:hyperlink w:anchor="_Toc45723494" w:history="1">
            <w:r w:rsidR="00C13BBE" w:rsidRPr="00AA7F4C">
              <w:rPr>
                <w:rStyle w:val="Hypertextovodkaz"/>
                <w:noProof/>
              </w:rPr>
              <w:t>b) připojovací rozměry, výkonové kapacity a délky</w:t>
            </w:r>
            <w:r w:rsidR="00C13BBE">
              <w:rPr>
                <w:noProof/>
                <w:webHidden/>
              </w:rPr>
              <w:tab/>
            </w:r>
            <w:r w:rsidR="00C13BBE">
              <w:rPr>
                <w:noProof/>
                <w:webHidden/>
              </w:rPr>
              <w:fldChar w:fldCharType="begin"/>
            </w:r>
            <w:r w:rsidR="00C13BBE">
              <w:rPr>
                <w:noProof/>
                <w:webHidden/>
              </w:rPr>
              <w:instrText xml:space="preserve"> PAGEREF _Toc45723494 \h </w:instrText>
            </w:r>
            <w:r w:rsidR="00C13BBE">
              <w:rPr>
                <w:noProof/>
                <w:webHidden/>
              </w:rPr>
            </w:r>
            <w:r w:rsidR="00C13BBE">
              <w:rPr>
                <w:noProof/>
                <w:webHidden/>
              </w:rPr>
              <w:fldChar w:fldCharType="separate"/>
            </w:r>
            <w:r>
              <w:rPr>
                <w:noProof/>
                <w:webHidden/>
              </w:rPr>
              <w:t>9</w:t>
            </w:r>
            <w:r w:rsidR="00C13BBE">
              <w:rPr>
                <w:noProof/>
                <w:webHidden/>
              </w:rPr>
              <w:fldChar w:fldCharType="end"/>
            </w:r>
          </w:hyperlink>
        </w:p>
        <w:p w14:paraId="788CE9DC" w14:textId="1F96CBBB" w:rsidR="00C13BBE" w:rsidRDefault="009B1859">
          <w:pPr>
            <w:pStyle w:val="Obsah3"/>
            <w:tabs>
              <w:tab w:val="right" w:leader="dot" w:pos="9060"/>
            </w:tabs>
            <w:rPr>
              <w:rFonts w:asciiTheme="minorHAnsi" w:eastAsiaTheme="minorEastAsia" w:hAnsiTheme="minorHAnsi"/>
              <w:noProof/>
              <w:lang w:eastAsia="cs-CZ"/>
            </w:rPr>
          </w:pPr>
          <w:hyperlink w:anchor="_Toc45723495" w:history="1">
            <w:r w:rsidR="00C13BBE" w:rsidRPr="00AA7F4C">
              <w:rPr>
                <w:rStyle w:val="Hypertextovodkaz"/>
                <w:noProof/>
              </w:rPr>
              <w:t>c) způsob odpojení</w:t>
            </w:r>
            <w:r w:rsidR="00C13BBE">
              <w:rPr>
                <w:noProof/>
                <w:webHidden/>
              </w:rPr>
              <w:tab/>
            </w:r>
            <w:r w:rsidR="00C13BBE">
              <w:rPr>
                <w:noProof/>
                <w:webHidden/>
              </w:rPr>
              <w:fldChar w:fldCharType="begin"/>
            </w:r>
            <w:r w:rsidR="00C13BBE">
              <w:rPr>
                <w:noProof/>
                <w:webHidden/>
              </w:rPr>
              <w:instrText xml:space="preserve"> PAGEREF _Toc45723495 \h </w:instrText>
            </w:r>
            <w:r w:rsidR="00C13BBE">
              <w:rPr>
                <w:noProof/>
                <w:webHidden/>
              </w:rPr>
            </w:r>
            <w:r w:rsidR="00C13BBE">
              <w:rPr>
                <w:noProof/>
                <w:webHidden/>
              </w:rPr>
              <w:fldChar w:fldCharType="separate"/>
            </w:r>
            <w:r>
              <w:rPr>
                <w:noProof/>
                <w:webHidden/>
              </w:rPr>
              <w:t>9</w:t>
            </w:r>
            <w:r w:rsidR="00C13BBE">
              <w:rPr>
                <w:noProof/>
                <w:webHidden/>
              </w:rPr>
              <w:fldChar w:fldCharType="end"/>
            </w:r>
          </w:hyperlink>
        </w:p>
        <w:p w14:paraId="50F48CDD" w14:textId="1C14F523" w:rsidR="00C13BBE" w:rsidRDefault="009B1859">
          <w:pPr>
            <w:pStyle w:val="Obsah2"/>
            <w:tabs>
              <w:tab w:val="left" w:pos="880"/>
              <w:tab w:val="right" w:leader="dot" w:pos="9060"/>
            </w:tabs>
            <w:rPr>
              <w:rFonts w:asciiTheme="minorHAnsi" w:eastAsiaTheme="minorEastAsia" w:hAnsiTheme="minorHAnsi"/>
              <w:noProof/>
              <w:lang w:eastAsia="cs-CZ"/>
            </w:rPr>
          </w:pPr>
          <w:hyperlink w:anchor="_Toc45723496" w:history="1">
            <w:r w:rsidR="00C13BBE" w:rsidRPr="00AA7F4C">
              <w:rPr>
                <w:rStyle w:val="Hypertextovodkaz"/>
                <w:rFonts w:eastAsia="Times New Roman"/>
                <w:noProof/>
                <w:lang w:eastAsia="cs-CZ"/>
              </w:rPr>
              <w:t xml:space="preserve">B.4 </w:t>
            </w:r>
            <w:r w:rsidR="00C13BBE">
              <w:rPr>
                <w:rFonts w:asciiTheme="minorHAnsi" w:eastAsiaTheme="minorEastAsia" w:hAnsiTheme="minorHAnsi"/>
                <w:noProof/>
                <w:lang w:eastAsia="cs-CZ"/>
              </w:rPr>
              <w:tab/>
            </w:r>
            <w:r w:rsidR="00C13BBE" w:rsidRPr="00AA7F4C">
              <w:rPr>
                <w:rStyle w:val="Hypertextovodkaz"/>
                <w:rFonts w:eastAsia="Times New Roman"/>
                <w:noProof/>
                <w:lang w:eastAsia="cs-CZ"/>
              </w:rPr>
              <w:t>Úpravy terénu a řešení vegetace po odstranění stavby</w:t>
            </w:r>
            <w:r w:rsidR="00C13BBE">
              <w:rPr>
                <w:noProof/>
                <w:webHidden/>
              </w:rPr>
              <w:tab/>
            </w:r>
            <w:r w:rsidR="00C13BBE">
              <w:rPr>
                <w:noProof/>
                <w:webHidden/>
              </w:rPr>
              <w:fldChar w:fldCharType="begin"/>
            </w:r>
            <w:r w:rsidR="00C13BBE">
              <w:rPr>
                <w:noProof/>
                <w:webHidden/>
              </w:rPr>
              <w:instrText xml:space="preserve"> PAGEREF _Toc45723496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50CCE282" w14:textId="6B9DE7AD" w:rsidR="00C13BBE" w:rsidRDefault="009B1859">
          <w:pPr>
            <w:pStyle w:val="Obsah3"/>
            <w:tabs>
              <w:tab w:val="right" w:leader="dot" w:pos="9060"/>
            </w:tabs>
            <w:rPr>
              <w:rFonts w:asciiTheme="minorHAnsi" w:eastAsiaTheme="minorEastAsia" w:hAnsiTheme="minorHAnsi"/>
              <w:noProof/>
              <w:lang w:eastAsia="cs-CZ"/>
            </w:rPr>
          </w:pPr>
          <w:hyperlink w:anchor="_Toc45723497" w:history="1">
            <w:r w:rsidR="00C13BBE" w:rsidRPr="00AA7F4C">
              <w:rPr>
                <w:rStyle w:val="Hypertextovodkaz"/>
                <w:noProof/>
              </w:rPr>
              <w:t>a) terénní úpravy po odstranění stavby</w:t>
            </w:r>
            <w:r w:rsidR="00C13BBE">
              <w:rPr>
                <w:noProof/>
                <w:webHidden/>
              </w:rPr>
              <w:tab/>
            </w:r>
            <w:r w:rsidR="00C13BBE">
              <w:rPr>
                <w:noProof/>
                <w:webHidden/>
              </w:rPr>
              <w:fldChar w:fldCharType="begin"/>
            </w:r>
            <w:r w:rsidR="00C13BBE">
              <w:rPr>
                <w:noProof/>
                <w:webHidden/>
              </w:rPr>
              <w:instrText xml:space="preserve"> PAGEREF _Toc45723497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5F1A8877" w14:textId="291A512A" w:rsidR="00C13BBE" w:rsidRDefault="009B1859">
          <w:pPr>
            <w:pStyle w:val="Obsah3"/>
            <w:tabs>
              <w:tab w:val="right" w:leader="dot" w:pos="9060"/>
            </w:tabs>
            <w:rPr>
              <w:rFonts w:asciiTheme="minorHAnsi" w:eastAsiaTheme="minorEastAsia" w:hAnsiTheme="minorHAnsi"/>
              <w:noProof/>
              <w:lang w:eastAsia="cs-CZ"/>
            </w:rPr>
          </w:pPr>
          <w:hyperlink w:anchor="_Toc45723498" w:history="1">
            <w:r w:rsidR="00C13BBE" w:rsidRPr="00AA7F4C">
              <w:rPr>
                <w:rStyle w:val="Hypertextovodkaz"/>
                <w:noProof/>
              </w:rPr>
              <w:t>b) použité vegetační prvky, biotechnická opatření.</w:t>
            </w:r>
            <w:r w:rsidR="00C13BBE">
              <w:rPr>
                <w:noProof/>
                <w:webHidden/>
              </w:rPr>
              <w:tab/>
            </w:r>
            <w:r w:rsidR="00C13BBE">
              <w:rPr>
                <w:noProof/>
                <w:webHidden/>
              </w:rPr>
              <w:fldChar w:fldCharType="begin"/>
            </w:r>
            <w:r w:rsidR="00C13BBE">
              <w:rPr>
                <w:noProof/>
                <w:webHidden/>
              </w:rPr>
              <w:instrText xml:space="preserve"> PAGEREF _Toc45723498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17F22502" w14:textId="6747E54D" w:rsidR="00C13BBE" w:rsidRDefault="009B1859">
          <w:pPr>
            <w:pStyle w:val="Obsah2"/>
            <w:tabs>
              <w:tab w:val="left" w:pos="880"/>
              <w:tab w:val="right" w:leader="dot" w:pos="9060"/>
            </w:tabs>
            <w:rPr>
              <w:rFonts w:asciiTheme="minorHAnsi" w:eastAsiaTheme="minorEastAsia" w:hAnsiTheme="minorHAnsi"/>
              <w:noProof/>
              <w:lang w:eastAsia="cs-CZ"/>
            </w:rPr>
          </w:pPr>
          <w:hyperlink w:anchor="_Toc45723499" w:history="1">
            <w:r w:rsidR="00C13BBE" w:rsidRPr="00AA7F4C">
              <w:rPr>
                <w:rStyle w:val="Hypertextovodkaz"/>
                <w:rFonts w:eastAsia="Times New Roman"/>
                <w:noProof/>
                <w:lang w:eastAsia="cs-CZ"/>
              </w:rPr>
              <w:t>B.5</w:t>
            </w:r>
            <w:r w:rsidR="00C13BBE">
              <w:rPr>
                <w:rFonts w:asciiTheme="minorHAnsi" w:eastAsiaTheme="minorEastAsia" w:hAnsiTheme="minorHAnsi"/>
                <w:noProof/>
                <w:lang w:eastAsia="cs-CZ"/>
              </w:rPr>
              <w:tab/>
            </w:r>
            <w:r w:rsidR="00C13BBE" w:rsidRPr="00AA7F4C">
              <w:rPr>
                <w:rStyle w:val="Hypertextovodkaz"/>
                <w:rFonts w:eastAsia="Times New Roman"/>
                <w:noProof/>
                <w:lang w:eastAsia="cs-CZ"/>
              </w:rPr>
              <w:t xml:space="preserve"> Zásady organizace bouracích prací</w:t>
            </w:r>
            <w:r w:rsidR="00C13BBE">
              <w:rPr>
                <w:noProof/>
                <w:webHidden/>
              </w:rPr>
              <w:tab/>
            </w:r>
            <w:r w:rsidR="00C13BBE">
              <w:rPr>
                <w:noProof/>
                <w:webHidden/>
              </w:rPr>
              <w:fldChar w:fldCharType="begin"/>
            </w:r>
            <w:r w:rsidR="00C13BBE">
              <w:rPr>
                <w:noProof/>
                <w:webHidden/>
              </w:rPr>
              <w:instrText xml:space="preserve"> PAGEREF _Toc45723499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3F828728" w14:textId="1A266B40" w:rsidR="00C13BBE" w:rsidRDefault="009B1859">
          <w:pPr>
            <w:pStyle w:val="Obsah3"/>
            <w:tabs>
              <w:tab w:val="right" w:leader="dot" w:pos="9060"/>
            </w:tabs>
            <w:rPr>
              <w:rFonts w:asciiTheme="minorHAnsi" w:eastAsiaTheme="minorEastAsia" w:hAnsiTheme="minorHAnsi"/>
              <w:noProof/>
              <w:lang w:eastAsia="cs-CZ"/>
            </w:rPr>
          </w:pPr>
          <w:hyperlink w:anchor="_Toc45723500" w:history="1">
            <w:r w:rsidR="00C13BBE" w:rsidRPr="00AA7F4C">
              <w:rPr>
                <w:rStyle w:val="Hypertextovodkaz"/>
                <w:noProof/>
              </w:rPr>
              <w:t>a) potřeby a spotřeby rozhodujících médií a hmot, jejich zajištění</w:t>
            </w:r>
            <w:r w:rsidR="00C13BBE">
              <w:rPr>
                <w:noProof/>
                <w:webHidden/>
              </w:rPr>
              <w:tab/>
            </w:r>
            <w:r w:rsidR="00C13BBE">
              <w:rPr>
                <w:noProof/>
                <w:webHidden/>
              </w:rPr>
              <w:fldChar w:fldCharType="begin"/>
            </w:r>
            <w:r w:rsidR="00C13BBE">
              <w:rPr>
                <w:noProof/>
                <w:webHidden/>
              </w:rPr>
              <w:instrText xml:space="preserve"> PAGEREF _Toc45723500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0D87E3AC" w14:textId="7F93E621" w:rsidR="00C13BBE" w:rsidRDefault="009B1859">
          <w:pPr>
            <w:pStyle w:val="Obsah3"/>
            <w:tabs>
              <w:tab w:val="right" w:leader="dot" w:pos="9060"/>
            </w:tabs>
            <w:rPr>
              <w:rFonts w:asciiTheme="minorHAnsi" w:eastAsiaTheme="minorEastAsia" w:hAnsiTheme="minorHAnsi"/>
              <w:noProof/>
              <w:lang w:eastAsia="cs-CZ"/>
            </w:rPr>
          </w:pPr>
          <w:hyperlink w:anchor="_Toc45723501" w:history="1">
            <w:r w:rsidR="00C13BBE" w:rsidRPr="00AA7F4C">
              <w:rPr>
                <w:rStyle w:val="Hypertextovodkaz"/>
                <w:noProof/>
              </w:rPr>
              <w:t>b) odvodnění staveniště</w:t>
            </w:r>
            <w:r w:rsidR="00C13BBE">
              <w:rPr>
                <w:noProof/>
                <w:webHidden/>
              </w:rPr>
              <w:tab/>
            </w:r>
            <w:r w:rsidR="00C13BBE">
              <w:rPr>
                <w:noProof/>
                <w:webHidden/>
              </w:rPr>
              <w:fldChar w:fldCharType="begin"/>
            </w:r>
            <w:r w:rsidR="00C13BBE">
              <w:rPr>
                <w:noProof/>
                <w:webHidden/>
              </w:rPr>
              <w:instrText xml:space="preserve"> PAGEREF _Toc45723501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313604AB" w14:textId="109AE7BD" w:rsidR="00C13BBE" w:rsidRDefault="009B1859">
          <w:pPr>
            <w:pStyle w:val="Obsah3"/>
            <w:tabs>
              <w:tab w:val="right" w:leader="dot" w:pos="9060"/>
            </w:tabs>
            <w:rPr>
              <w:rFonts w:asciiTheme="minorHAnsi" w:eastAsiaTheme="minorEastAsia" w:hAnsiTheme="minorHAnsi"/>
              <w:noProof/>
              <w:lang w:eastAsia="cs-CZ"/>
            </w:rPr>
          </w:pPr>
          <w:hyperlink w:anchor="_Toc45723502" w:history="1">
            <w:r w:rsidR="00C13BBE" w:rsidRPr="00AA7F4C">
              <w:rPr>
                <w:rStyle w:val="Hypertextovodkaz"/>
                <w:noProof/>
              </w:rPr>
              <w:t>c) napojení staveniště na stávající dopravní a technickou infrastrukturu</w:t>
            </w:r>
            <w:r w:rsidR="00C13BBE">
              <w:rPr>
                <w:noProof/>
                <w:webHidden/>
              </w:rPr>
              <w:tab/>
            </w:r>
            <w:r w:rsidR="00C13BBE">
              <w:rPr>
                <w:noProof/>
                <w:webHidden/>
              </w:rPr>
              <w:fldChar w:fldCharType="begin"/>
            </w:r>
            <w:r w:rsidR="00C13BBE">
              <w:rPr>
                <w:noProof/>
                <w:webHidden/>
              </w:rPr>
              <w:instrText xml:space="preserve"> PAGEREF _Toc45723502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005DDD08" w14:textId="52DBD149" w:rsidR="00C13BBE" w:rsidRDefault="009B1859">
          <w:pPr>
            <w:pStyle w:val="Obsah3"/>
            <w:tabs>
              <w:tab w:val="right" w:leader="dot" w:pos="9060"/>
            </w:tabs>
            <w:rPr>
              <w:rFonts w:asciiTheme="minorHAnsi" w:eastAsiaTheme="minorEastAsia" w:hAnsiTheme="minorHAnsi"/>
              <w:noProof/>
              <w:lang w:eastAsia="cs-CZ"/>
            </w:rPr>
          </w:pPr>
          <w:hyperlink w:anchor="_Toc45723503" w:history="1">
            <w:r w:rsidR="00C13BBE" w:rsidRPr="00AA7F4C">
              <w:rPr>
                <w:rStyle w:val="Hypertextovodkaz"/>
                <w:noProof/>
              </w:rPr>
              <w:t>d) vliv odstraňování stavby na okolní stavby a pozemky</w:t>
            </w:r>
            <w:r w:rsidR="00C13BBE">
              <w:rPr>
                <w:noProof/>
                <w:webHidden/>
              </w:rPr>
              <w:tab/>
            </w:r>
            <w:r w:rsidR="00C13BBE">
              <w:rPr>
                <w:noProof/>
                <w:webHidden/>
              </w:rPr>
              <w:fldChar w:fldCharType="begin"/>
            </w:r>
            <w:r w:rsidR="00C13BBE">
              <w:rPr>
                <w:noProof/>
                <w:webHidden/>
              </w:rPr>
              <w:instrText xml:space="preserve"> PAGEREF _Toc45723503 \h </w:instrText>
            </w:r>
            <w:r w:rsidR="00C13BBE">
              <w:rPr>
                <w:noProof/>
                <w:webHidden/>
              </w:rPr>
            </w:r>
            <w:r w:rsidR="00C13BBE">
              <w:rPr>
                <w:noProof/>
                <w:webHidden/>
              </w:rPr>
              <w:fldChar w:fldCharType="separate"/>
            </w:r>
            <w:r>
              <w:rPr>
                <w:noProof/>
                <w:webHidden/>
              </w:rPr>
              <w:t>10</w:t>
            </w:r>
            <w:r w:rsidR="00C13BBE">
              <w:rPr>
                <w:noProof/>
                <w:webHidden/>
              </w:rPr>
              <w:fldChar w:fldCharType="end"/>
            </w:r>
          </w:hyperlink>
        </w:p>
        <w:p w14:paraId="2BF52545" w14:textId="43AD1E6D" w:rsidR="00C13BBE" w:rsidRDefault="009B1859">
          <w:pPr>
            <w:pStyle w:val="Obsah3"/>
            <w:tabs>
              <w:tab w:val="right" w:leader="dot" w:pos="9060"/>
            </w:tabs>
            <w:rPr>
              <w:rFonts w:asciiTheme="minorHAnsi" w:eastAsiaTheme="minorEastAsia" w:hAnsiTheme="minorHAnsi"/>
              <w:noProof/>
              <w:lang w:eastAsia="cs-CZ"/>
            </w:rPr>
          </w:pPr>
          <w:hyperlink w:anchor="_Toc45723504" w:history="1">
            <w:r w:rsidR="00C13BBE" w:rsidRPr="00AA7F4C">
              <w:rPr>
                <w:rStyle w:val="Hypertextovodkaz"/>
                <w:noProof/>
              </w:rPr>
              <w:t>e) ochrana okolí staveniště</w:t>
            </w:r>
            <w:r w:rsidR="00C13BBE">
              <w:rPr>
                <w:noProof/>
                <w:webHidden/>
              </w:rPr>
              <w:tab/>
            </w:r>
            <w:r w:rsidR="00C13BBE">
              <w:rPr>
                <w:noProof/>
                <w:webHidden/>
              </w:rPr>
              <w:fldChar w:fldCharType="begin"/>
            </w:r>
            <w:r w:rsidR="00C13BBE">
              <w:rPr>
                <w:noProof/>
                <w:webHidden/>
              </w:rPr>
              <w:instrText xml:space="preserve"> PAGEREF _Toc45723504 \h </w:instrText>
            </w:r>
            <w:r w:rsidR="00C13BBE">
              <w:rPr>
                <w:noProof/>
                <w:webHidden/>
              </w:rPr>
            </w:r>
            <w:r w:rsidR="00C13BBE">
              <w:rPr>
                <w:noProof/>
                <w:webHidden/>
              </w:rPr>
              <w:fldChar w:fldCharType="separate"/>
            </w:r>
            <w:r>
              <w:rPr>
                <w:noProof/>
                <w:webHidden/>
              </w:rPr>
              <w:t>11</w:t>
            </w:r>
            <w:r w:rsidR="00C13BBE">
              <w:rPr>
                <w:noProof/>
                <w:webHidden/>
              </w:rPr>
              <w:fldChar w:fldCharType="end"/>
            </w:r>
          </w:hyperlink>
        </w:p>
        <w:p w14:paraId="76A385BB" w14:textId="1FAA0581" w:rsidR="00C13BBE" w:rsidRDefault="009B1859">
          <w:pPr>
            <w:pStyle w:val="Obsah3"/>
            <w:tabs>
              <w:tab w:val="right" w:leader="dot" w:pos="9060"/>
            </w:tabs>
            <w:rPr>
              <w:rFonts w:asciiTheme="minorHAnsi" w:eastAsiaTheme="minorEastAsia" w:hAnsiTheme="minorHAnsi"/>
              <w:noProof/>
              <w:lang w:eastAsia="cs-CZ"/>
            </w:rPr>
          </w:pPr>
          <w:hyperlink w:anchor="_Toc45723505" w:history="1">
            <w:r w:rsidR="00C13BBE" w:rsidRPr="00AA7F4C">
              <w:rPr>
                <w:rStyle w:val="Hypertextovodkaz"/>
                <w:noProof/>
              </w:rPr>
              <w:t>f) maximální zábory</w:t>
            </w:r>
            <w:r w:rsidR="00C13BBE">
              <w:rPr>
                <w:noProof/>
                <w:webHidden/>
              </w:rPr>
              <w:tab/>
            </w:r>
            <w:r w:rsidR="00C13BBE">
              <w:rPr>
                <w:noProof/>
                <w:webHidden/>
              </w:rPr>
              <w:fldChar w:fldCharType="begin"/>
            </w:r>
            <w:r w:rsidR="00C13BBE">
              <w:rPr>
                <w:noProof/>
                <w:webHidden/>
              </w:rPr>
              <w:instrText xml:space="preserve"> PAGEREF _Toc45723505 \h </w:instrText>
            </w:r>
            <w:r w:rsidR="00C13BBE">
              <w:rPr>
                <w:noProof/>
                <w:webHidden/>
              </w:rPr>
            </w:r>
            <w:r w:rsidR="00C13BBE">
              <w:rPr>
                <w:noProof/>
                <w:webHidden/>
              </w:rPr>
              <w:fldChar w:fldCharType="separate"/>
            </w:r>
            <w:r>
              <w:rPr>
                <w:noProof/>
                <w:webHidden/>
              </w:rPr>
              <w:t>11</w:t>
            </w:r>
            <w:r w:rsidR="00C13BBE">
              <w:rPr>
                <w:noProof/>
                <w:webHidden/>
              </w:rPr>
              <w:fldChar w:fldCharType="end"/>
            </w:r>
          </w:hyperlink>
        </w:p>
        <w:p w14:paraId="7A4E51F6" w14:textId="58E7190E" w:rsidR="00C13BBE" w:rsidRDefault="009B1859">
          <w:pPr>
            <w:pStyle w:val="Obsah3"/>
            <w:tabs>
              <w:tab w:val="right" w:leader="dot" w:pos="9060"/>
            </w:tabs>
            <w:rPr>
              <w:rFonts w:asciiTheme="minorHAnsi" w:eastAsiaTheme="minorEastAsia" w:hAnsiTheme="minorHAnsi"/>
              <w:noProof/>
              <w:lang w:eastAsia="cs-CZ"/>
            </w:rPr>
          </w:pPr>
          <w:hyperlink w:anchor="_Toc45723506" w:history="1">
            <w:r w:rsidR="00C13BBE" w:rsidRPr="00AA7F4C">
              <w:rPr>
                <w:rStyle w:val="Hypertextovodkaz"/>
                <w:noProof/>
              </w:rPr>
              <w:t>g) požadavky na bezbariérové obchozí trasy</w:t>
            </w:r>
            <w:r w:rsidR="00C13BBE">
              <w:rPr>
                <w:noProof/>
                <w:webHidden/>
              </w:rPr>
              <w:tab/>
            </w:r>
            <w:r w:rsidR="00C13BBE">
              <w:rPr>
                <w:noProof/>
                <w:webHidden/>
              </w:rPr>
              <w:fldChar w:fldCharType="begin"/>
            </w:r>
            <w:r w:rsidR="00C13BBE">
              <w:rPr>
                <w:noProof/>
                <w:webHidden/>
              </w:rPr>
              <w:instrText xml:space="preserve"> PAGEREF _Toc45723506 \h </w:instrText>
            </w:r>
            <w:r w:rsidR="00C13BBE">
              <w:rPr>
                <w:noProof/>
                <w:webHidden/>
              </w:rPr>
            </w:r>
            <w:r w:rsidR="00C13BBE">
              <w:rPr>
                <w:noProof/>
                <w:webHidden/>
              </w:rPr>
              <w:fldChar w:fldCharType="separate"/>
            </w:r>
            <w:r>
              <w:rPr>
                <w:noProof/>
                <w:webHidden/>
              </w:rPr>
              <w:t>11</w:t>
            </w:r>
            <w:r w:rsidR="00C13BBE">
              <w:rPr>
                <w:noProof/>
                <w:webHidden/>
              </w:rPr>
              <w:fldChar w:fldCharType="end"/>
            </w:r>
          </w:hyperlink>
        </w:p>
        <w:p w14:paraId="29AB5476" w14:textId="3A2138E2" w:rsidR="00C13BBE" w:rsidRDefault="009B1859">
          <w:pPr>
            <w:pStyle w:val="Obsah3"/>
            <w:tabs>
              <w:tab w:val="right" w:leader="dot" w:pos="9060"/>
            </w:tabs>
            <w:rPr>
              <w:rFonts w:asciiTheme="minorHAnsi" w:eastAsiaTheme="minorEastAsia" w:hAnsiTheme="minorHAnsi"/>
              <w:noProof/>
              <w:lang w:eastAsia="cs-CZ"/>
            </w:rPr>
          </w:pPr>
          <w:hyperlink w:anchor="_Toc45723507" w:history="1">
            <w:r w:rsidR="00C13BBE" w:rsidRPr="00AA7F4C">
              <w:rPr>
                <w:rStyle w:val="Hypertextovodkaz"/>
                <w:noProof/>
              </w:rPr>
              <w:t>h) maximální produkovaná množství a druhy odpadů a emisí při odstraňování stavby, nakládání s odpady, zejména s nebezpečným odpadem, způsob přepravy a jejich uložení nebo dalšího využití anebo likvidace</w:t>
            </w:r>
            <w:r w:rsidR="00C13BBE">
              <w:rPr>
                <w:noProof/>
                <w:webHidden/>
              </w:rPr>
              <w:tab/>
            </w:r>
            <w:r w:rsidR="00C13BBE">
              <w:rPr>
                <w:noProof/>
                <w:webHidden/>
              </w:rPr>
              <w:fldChar w:fldCharType="begin"/>
            </w:r>
            <w:r w:rsidR="00C13BBE">
              <w:rPr>
                <w:noProof/>
                <w:webHidden/>
              </w:rPr>
              <w:instrText xml:space="preserve"> PAGEREF _Toc45723507 \h </w:instrText>
            </w:r>
            <w:r w:rsidR="00C13BBE">
              <w:rPr>
                <w:noProof/>
                <w:webHidden/>
              </w:rPr>
            </w:r>
            <w:r w:rsidR="00C13BBE">
              <w:rPr>
                <w:noProof/>
                <w:webHidden/>
              </w:rPr>
              <w:fldChar w:fldCharType="separate"/>
            </w:r>
            <w:r>
              <w:rPr>
                <w:noProof/>
                <w:webHidden/>
              </w:rPr>
              <w:t>11</w:t>
            </w:r>
            <w:r w:rsidR="00C13BBE">
              <w:rPr>
                <w:noProof/>
                <w:webHidden/>
              </w:rPr>
              <w:fldChar w:fldCharType="end"/>
            </w:r>
          </w:hyperlink>
        </w:p>
        <w:p w14:paraId="2CD403B7" w14:textId="5981A799" w:rsidR="00C13BBE" w:rsidRDefault="009B1859">
          <w:pPr>
            <w:pStyle w:val="Obsah3"/>
            <w:tabs>
              <w:tab w:val="right" w:leader="dot" w:pos="9060"/>
            </w:tabs>
            <w:rPr>
              <w:rFonts w:asciiTheme="minorHAnsi" w:eastAsiaTheme="minorEastAsia" w:hAnsiTheme="minorHAnsi"/>
              <w:noProof/>
              <w:lang w:eastAsia="cs-CZ"/>
            </w:rPr>
          </w:pPr>
          <w:hyperlink w:anchor="_Toc45723508" w:history="1">
            <w:r w:rsidR="00C13BBE" w:rsidRPr="00AA7F4C">
              <w:rPr>
                <w:rStyle w:val="Hypertextovodkaz"/>
                <w:noProof/>
              </w:rPr>
              <w:t>i) ochrana životního prostředí při odstraňování stavby</w:t>
            </w:r>
            <w:r w:rsidR="00C13BBE">
              <w:rPr>
                <w:noProof/>
                <w:webHidden/>
              </w:rPr>
              <w:tab/>
            </w:r>
            <w:r w:rsidR="00C13BBE">
              <w:rPr>
                <w:noProof/>
                <w:webHidden/>
              </w:rPr>
              <w:fldChar w:fldCharType="begin"/>
            </w:r>
            <w:r w:rsidR="00C13BBE">
              <w:rPr>
                <w:noProof/>
                <w:webHidden/>
              </w:rPr>
              <w:instrText xml:space="preserve"> PAGEREF _Toc45723508 \h </w:instrText>
            </w:r>
            <w:r w:rsidR="00C13BBE">
              <w:rPr>
                <w:noProof/>
                <w:webHidden/>
              </w:rPr>
            </w:r>
            <w:r w:rsidR="00C13BBE">
              <w:rPr>
                <w:noProof/>
                <w:webHidden/>
              </w:rPr>
              <w:fldChar w:fldCharType="separate"/>
            </w:r>
            <w:r>
              <w:rPr>
                <w:noProof/>
                <w:webHidden/>
              </w:rPr>
              <w:t>12</w:t>
            </w:r>
            <w:r w:rsidR="00C13BBE">
              <w:rPr>
                <w:noProof/>
                <w:webHidden/>
              </w:rPr>
              <w:fldChar w:fldCharType="end"/>
            </w:r>
          </w:hyperlink>
        </w:p>
        <w:p w14:paraId="5C9F5CF2" w14:textId="5EEE48B5" w:rsidR="00C13BBE" w:rsidRDefault="009B1859">
          <w:pPr>
            <w:pStyle w:val="Obsah3"/>
            <w:tabs>
              <w:tab w:val="right" w:leader="dot" w:pos="9060"/>
            </w:tabs>
            <w:rPr>
              <w:rFonts w:asciiTheme="minorHAnsi" w:eastAsiaTheme="minorEastAsia" w:hAnsiTheme="minorHAnsi"/>
              <w:noProof/>
              <w:lang w:eastAsia="cs-CZ"/>
            </w:rPr>
          </w:pPr>
          <w:hyperlink w:anchor="_Toc45723509" w:history="1">
            <w:r w:rsidR="00C13BBE" w:rsidRPr="00AA7F4C">
              <w:rPr>
                <w:rStyle w:val="Hypertextovodkaz"/>
                <w:noProof/>
              </w:rPr>
              <w:t>j) zásady bezpečnosti a ochrany zdraví při práci na staveništi</w:t>
            </w:r>
            <w:r w:rsidR="00C13BBE">
              <w:rPr>
                <w:noProof/>
                <w:webHidden/>
              </w:rPr>
              <w:tab/>
            </w:r>
            <w:r w:rsidR="00C13BBE">
              <w:rPr>
                <w:noProof/>
                <w:webHidden/>
              </w:rPr>
              <w:fldChar w:fldCharType="begin"/>
            </w:r>
            <w:r w:rsidR="00C13BBE">
              <w:rPr>
                <w:noProof/>
                <w:webHidden/>
              </w:rPr>
              <w:instrText xml:space="preserve"> PAGEREF _Toc45723509 \h </w:instrText>
            </w:r>
            <w:r w:rsidR="00C13BBE">
              <w:rPr>
                <w:noProof/>
                <w:webHidden/>
              </w:rPr>
            </w:r>
            <w:r w:rsidR="00C13BBE">
              <w:rPr>
                <w:noProof/>
                <w:webHidden/>
              </w:rPr>
              <w:fldChar w:fldCharType="separate"/>
            </w:r>
            <w:r>
              <w:rPr>
                <w:noProof/>
                <w:webHidden/>
              </w:rPr>
              <w:t>13</w:t>
            </w:r>
            <w:r w:rsidR="00C13BBE">
              <w:rPr>
                <w:noProof/>
                <w:webHidden/>
              </w:rPr>
              <w:fldChar w:fldCharType="end"/>
            </w:r>
          </w:hyperlink>
        </w:p>
        <w:p w14:paraId="68BD851B" w14:textId="14CC2B29" w:rsidR="00C13BBE" w:rsidRDefault="009B1859">
          <w:pPr>
            <w:pStyle w:val="Obsah3"/>
            <w:tabs>
              <w:tab w:val="right" w:leader="dot" w:pos="9060"/>
            </w:tabs>
            <w:rPr>
              <w:rFonts w:asciiTheme="minorHAnsi" w:eastAsiaTheme="minorEastAsia" w:hAnsiTheme="minorHAnsi"/>
              <w:noProof/>
              <w:lang w:eastAsia="cs-CZ"/>
            </w:rPr>
          </w:pPr>
          <w:hyperlink w:anchor="_Toc45723510" w:history="1">
            <w:r w:rsidR="00C13BBE" w:rsidRPr="00AA7F4C">
              <w:rPr>
                <w:rStyle w:val="Hypertextovodkaz"/>
                <w:noProof/>
              </w:rPr>
              <w:t>k) úpravy pro bezbariérové užívání staveb dotčených odstraněním stavby</w:t>
            </w:r>
            <w:r w:rsidR="00C13BBE">
              <w:rPr>
                <w:noProof/>
                <w:webHidden/>
              </w:rPr>
              <w:tab/>
            </w:r>
            <w:r w:rsidR="00C13BBE">
              <w:rPr>
                <w:noProof/>
                <w:webHidden/>
              </w:rPr>
              <w:fldChar w:fldCharType="begin"/>
            </w:r>
            <w:r w:rsidR="00C13BBE">
              <w:rPr>
                <w:noProof/>
                <w:webHidden/>
              </w:rPr>
              <w:instrText xml:space="preserve"> PAGEREF _Toc45723510 \h </w:instrText>
            </w:r>
            <w:r w:rsidR="00C13BBE">
              <w:rPr>
                <w:noProof/>
                <w:webHidden/>
              </w:rPr>
            </w:r>
            <w:r w:rsidR="00C13BBE">
              <w:rPr>
                <w:noProof/>
                <w:webHidden/>
              </w:rPr>
              <w:fldChar w:fldCharType="separate"/>
            </w:r>
            <w:r>
              <w:rPr>
                <w:noProof/>
                <w:webHidden/>
              </w:rPr>
              <w:t>15</w:t>
            </w:r>
            <w:r w:rsidR="00C13BBE">
              <w:rPr>
                <w:noProof/>
                <w:webHidden/>
              </w:rPr>
              <w:fldChar w:fldCharType="end"/>
            </w:r>
          </w:hyperlink>
        </w:p>
        <w:p w14:paraId="49A84ACE" w14:textId="627D8444" w:rsidR="00C13BBE" w:rsidRDefault="009B1859">
          <w:pPr>
            <w:pStyle w:val="Obsah3"/>
            <w:tabs>
              <w:tab w:val="right" w:leader="dot" w:pos="9060"/>
            </w:tabs>
            <w:rPr>
              <w:rFonts w:asciiTheme="minorHAnsi" w:eastAsiaTheme="minorEastAsia" w:hAnsiTheme="minorHAnsi"/>
              <w:noProof/>
              <w:lang w:eastAsia="cs-CZ"/>
            </w:rPr>
          </w:pPr>
          <w:hyperlink w:anchor="_Toc45723511" w:history="1">
            <w:r w:rsidR="00C13BBE" w:rsidRPr="00AA7F4C">
              <w:rPr>
                <w:rStyle w:val="Hypertextovodkaz"/>
                <w:noProof/>
              </w:rPr>
              <w:t>l) zásady pro dopravně inženýrská opatření</w:t>
            </w:r>
            <w:r w:rsidR="00C13BBE">
              <w:rPr>
                <w:noProof/>
                <w:webHidden/>
              </w:rPr>
              <w:tab/>
            </w:r>
            <w:r w:rsidR="00C13BBE">
              <w:rPr>
                <w:noProof/>
                <w:webHidden/>
              </w:rPr>
              <w:fldChar w:fldCharType="begin"/>
            </w:r>
            <w:r w:rsidR="00C13BBE">
              <w:rPr>
                <w:noProof/>
                <w:webHidden/>
              </w:rPr>
              <w:instrText xml:space="preserve"> PAGEREF _Toc45723511 \h </w:instrText>
            </w:r>
            <w:r w:rsidR="00C13BBE">
              <w:rPr>
                <w:noProof/>
                <w:webHidden/>
              </w:rPr>
            </w:r>
            <w:r w:rsidR="00C13BBE">
              <w:rPr>
                <w:noProof/>
                <w:webHidden/>
              </w:rPr>
              <w:fldChar w:fldCharType="separate"/>
            </w:r>
            <w:r>
              <w:rPr>
                <w:noProof/>
                <w:webHidden/>
              </w:rPr>
              <w:t>15</w:t>
            </w:r>
            <w:r w:rsidR="00C13BBE">
              <w:rPr>
                <w:noProof/>
                <w:webHidden/>
              </w:rPr>
              <w:fldChar w:fldCharType="end"/>
            </w:r>
          </w:hyperlink>
        </w:p>
        <w:p w14:paraId="584A8D30" w14:textId="5E32B029" w:rsidR="00C13BBE" w:rsidRDefault="009B1859">
          <w:pPr>
            <w:pStyle w:val="Obsah2"/>
            <w:tabs>
              <w:tab w:val="right" w:leader="dot" w:pos="9060"/>
            </w:tabs>
            <w:rPr>
              <w:rFonts w:asciiTheme="minorHAnsi" w:eastAsiaTheme="minorEastAsia" w:hAnsiTheme="minorHAnsi"/>
              <w:noProof/>
              <w:lang w:eastAsia="cs-CZ"/>
            </w:rPr>
          </w:pPr>
          <w:hyperlink w:anchor="_Toc45723512" w:history="1">
            <w:r w:rsidR="00C13BBE" w:rsidRPr="00AA7F4C">
              <w:rPr>
                <w:rStyle w:val="Hypertextovodkaz"/>
                <w:rFonts w:eastAsia="Times New Roman"/>
                <w:noProof/>
                <w:lang w:eastAsia="cs-CZ"/>
              </w:rPr>
              <w:t>Přehled zkratek</w:t>
            </w:r>
            <w:r w:rsidR="00C13BBE">
              <w:rPr>
                <w:noProof/>
                <w:webHidden/>
              </w:rPr>
              <w:tab/>
            </w:r>
            <w:r w:rsidR="00C13BBE">
              <w:rPr>
                <w:noProof/>
                <w:webHidden/>
              </w:rPr>
              <w:fldChar w:fldCharType="begin"/>
            </w:r>
            <w:r w:rsidR="00C13BBE">
              <w:rPr>
                <w:noProof/>
                <w:webHidden/>
              </w:rPr>
              <w:instrText xml:space="preserve"> PAGEREF _Toc45723512 \h </w:instrText>
            </w:r>
            <w:r w:rsidR="00C13BBE">
              <w:rPr>
                <w:noProof/>
                <w:webHidden/>
              </w:rPr>
            </w:r>
            <w:r w:rsidR="00C13BBE">
              <w:rPr>
                <w:noProof/>
                <w:webHidden/>
              </w:rPr>
              <w:fldChar w:fldCharType="separate"/>
            </w:r>
            <w:r>
              <w:rPr>
                <w:noProof/>
                <w:webHidden/>
              </w:rPr>
              <w:t>15</w:t>
            </w:r>
            <w:r w:rsidR="00C13BBE">
              <w:rPr>
                <w:noProof/>
                <w:webHidden/>
              </w:rPr>
              <w:fldChar w:fldCharType="end"/>
            </w:r>
          </w:hyperlink>
        </w:p>
        <w:p w14:paraId="54F5E1B0" w14:textId="3F1747CC" w:rsidR="006A5577" w:rsidRDefault="00650B13">
          <w:pPr>
            <w:rPr>
              <w:b/>
              <w:bCs/>
            </w:rPr>
          </w:pPr>
          <w:r>
            <w:rPr>
              <w:b/>
              <w:bCs/>
            </w:rPr>
            <w:fldChar w:fldCharType="end"/>
          </w:r>
        </w:p>
        <w:p w14:paraId="77E00443" w14:textId="77777777" w:rsidR="006A5577" w:rsidRDefault="006A5577">
          <w:pPr>
            <w:rPr>
              <w:b/>
              <w:bCs/>
            </w:rPr>
          </w:pPr>
        </w:p>
        <w:p w14:paraId="68106AAF" w14:textId="77777777" w:rsidR="006A5577" w:rsidRDefault="006A5577">
          <w:pPr>
            <w:rPr>
              <w:b/>
              <w:bCs/>
            </w:rPr>
          </w:pPr>
        </w:p>
        <w:p w14:paraId="58D9AE97" w14:textId="77777777" w:rsidR="00C31813" w:rsidRDefault="00C31813"/>
        <w:p w14:paraId="320BA9BA" w14:textId="77777777" w:rsidR="004047D2" w:rsidRDefault="009B1859"/>
      </w:sdtContent>
    </w:sdt>
    <w:p w14:paraId="047B1A5E" w14:textId="77777777" w:rsidR="00D662C1" w:rsidRDefault="00D662C1" w:rsidP="00481961">
      <w:pPr>
        <w:pStyle w:val="Nadpis2"/>
        <w:rPr>
          <w:rFonts w:eastAsia="Times New Roman"/>
          <w:lang w:eastAsia="cs-CZ"/>
        </w:rPr>
      </w:pPr>
    </w:p>
    <w:p w14:paraId="01AF3ACE" w14:textId="77777777" w:rsidR="00D662C1" w:rsidRDefault="00D662C1" w:rsidP="00D662C1">
      <w:pPr>
        <w:rPr>
          <w:lang w:eastAsia="cs-CZ"/>
        </w:rPr>
      </w:pPr>
    </w:p>
    <w:p w14:paraId="3A6F9C38" w14:textId="77777777" w:rsidR="00D662C1" w:rsidRDefault="00D662C1" w:rsidP="00D662C1">
      <w:pPr>
        <w:rPr>
          <w:lang w:eastAsia="cs-CZ"/>
        </w:rPr>
      </w:pPr>
    </w:p>
    <w:p w14:paraId="66C8F0B4" w14:textId="77777777" w:rsidR="00D662C1" w:rsidRDefault="00D662C1" w:rsidP="00D662C1">
      <w:pPr>
        <w:rPr>
          <w:lang w:eastAsia="cs-CZ"/>
        </w:rPr>
      </w:pPr>
    </w:p>
    <w:p w14:paraId="45C70A7F" w14:textId="77777777" w:rsidR="00D662C1" w:rsidRPr="00D662C1" w:rsidRDefault="00D662C1" w:rsidP="00D662C1">
      <w:pPr>
        <w:rPr>
          <w:lang w:eastAsia="cs-CZ"/>
        </w:rPr>
      </w:pPr>
    </w:p>
    <w:p w14:paraId="7FEA938F" w14:textId="77777777" w:rsidR="00D662C1" w:rsidRDefault="00D662C1" w:rsidP="00481961">
      <w:pPr>
        <w:pStyle w:val="Nadpis2"/>
        <w:rPr>
          <w:rFonts w:eastAsia="Times New Roman"/>
          <w:lang w:eastAsia="cs-CZ"/>
        </w:rPr>
      </w:pPr>
    </w:p>
    <w:p w14:paraId="652BC497" w14:textId="77777777" w:rsidR="00D662C1" w:rsidRDefault="00D662C1" w:rsidP="00481961">
      <w:pPr>
        <w:pStyle w:val="Nadpis2"/>
        <w:rPr>
          <w:rFonts w:eastAsia="Times New Roman"/>
          <w:lang w:eastAsia="cs-CZ"/>
        </w:rPr>
      </w:pPr>
    </w:p>
    <w:p w14:paraId="5B21C792" w14:textId="77777777" w:rsidR="00D662C1" w:rsidRDefault="00D662C1" w:rsidP="00481961">
      <w:pPr>
        <w:pStyle w:val="Nadpis2"/>
        <w:rPr>
          <w:rFonts w:eastAsia="Times New Roman"/>
          <w:lang w:eastAsia="cs-CZ"/>
        </w:rPr>
      </w:pPr>
    </w:p>
    <w:p w14:paraId="39F20967" w14:textId="77777777" w:rsidR="00D662C1" w:rsidRDefault="00D662C1" w:rsidP="00481961">
      <w:pPr>
        <w:pStyle w:val="Nadpis2"/>
        <w:rPr>
          <w:rFonts w:eastAsia="Times New Roman"/>
          <w:lang w:eastAsia="cs-CZ"/>
        </w:rPr>
      </w:pPr>
    </w:p>
    <w:p w14:paraId="155F7456" w14:textId="77777777" w:rsidR="00D662C1" w:rsidRDefault="00D662C1" w:rsidP="00481961">
      <w:pPr>
        <w:pStyle w:val="Nadpis2"/>
        <w:rPr>
          <w:rFonts w:eastAsia="Times New Roman"/>
          <w:lang w:eastAsia="cs-CZ"/>
        </w:rPr>
      </w:pPr>
    </w:p>
    <w:p w14:paraId="09FEB866" w14:textId="77777777" w:rsidR="00D662C1" w:rsidRDefault="00D662C1" w:rsidP="00481961">
      <w:pPr>
        <w:pStyle w:val="Nadpis2"/>
        <w:rPr>
          <w:rFonts w:eastAsia="Times New Roman"/>
          <w:lang w:eastAsia="cs-CZ"/>
        </w:rPr>
      </w:pPr>
    </w:p>
    <w:p w14:paraId="0BF4DA87" w14:textId="77777777" w:rsidR="00D662C1" w:rsidRDefault="00D662C1" w:rsidP="00481961">
      <w:pPr>
        <w:pStyle w:val="Nadpis2"/>
        <w:rPr>
          <w:rFonts w:eastAsia="Times New Roman"/>
          <w:lang w:eastAsia="cs-CZ"/>
        </w:rPr>
      </w:pPr>
    </w:p>
    <w:p w14:paraId="4B702CBB" w14:textId="77777777" w:rsidR="00D662C1" w:rsidRDefault="00D662C1" w:rsidP="00481961">
      <w:pPr>
        <w:pStyle w:val="Nadpis2"/>
        <w:rPr>
          <w:rFonts w:eastAsia="Times New Roman"/>
          <w:lang w:eastAsia="cs-CZ"/>
        </w:rPr>
      </w:pPr>
    </w:p>
    <w:p w14:paraId="2970EAE9" w14:textId="77777777" w:rsidR="00D662C1" w:rsidRDefault="00D662C1" w:rsidP="00481961">
      <w:pPr>
        <w:pStyle w:val="Nadpis2"/>
        <w:rPr>
          <w:rFonts w:eastAsia="Times New Roman"/>
          <w:lang w:eastAsia="cs-CZ"/>
        </w:rPr>
      </w:pPr>
    </w:p>
    <w:p w14:paraId="6BF0B27A" w14:textId="77777777" w:rsidR="00D662C1" w:rsidRPr="00D662C1" w:rsidRDefault="00D662C1" w:rsidP="00D662C1">
      <w:pPr>
        <w:rPr>
          <w:lang w:eastAsia="cs-CZ"/>
        </w:rPr>
      </w:pPr>
    </w:p>
    <w:p w14:paraId="0BFBD741" w14:textId="77777777" w:rsidR="00887574" w:rsidRPr="009A4947" w:rsidRDefault="006E2E98" w:rsidP="00481961">
      <w:pPr>
        <w:pStyle w:val="Nadpis2"/>
        <w:rPr>
          <w:rFonts w:eastAsia="Times New Roman"/>
          <w:lang w:eastAsia="cs-CZ"/>
        </w:rPr>
      </w:pPr>
      <w:bookmarkStart w:id="3" w:name="_Toc45723473"/>
      <w:r>
        <w:rPr>
          <w:rFonts w:eastAsia="Times New Roman"/>
          <w:lang w:eastAsia="cs-CZ"/>
        </w:rPr>
        <w:lastRenderedPageBreak/>
        <w:t>B</w:t>
      </w:r>
      <w:r w:rsidR="00235CC7">
        <w:rPr>
          <w:rFonts w:eastAsia="Times New Roman"/>
          <w:lang w:eastAsia="cs-CZ"/>
        </w:rPr>
        <w:t>.1</w:t>
      </w:r>
      <w:r w:rsidR="00235CC7">
        <w:rPr>
          <w:rFonts w:eastAsia="Times New Roman"/>
          <w:lang w:eastAsia="cs-CZ"/>
        </w:rPr>
        <w:tab/>
      </w:r>
      <w:r>
        <w:rPr>
          <w:rFonts w:eastAsia="Times New Roman"/>
          <w:lang w:eastAsia="cs-CZ"/>
        </w:rPr>
        <w:t>Popis území stavby</w:t>
      </w:r>
      <w:bookmarkEnd w:id="3"/>
    </w:p>
    <w:p w14:paraId="577D7F80" w14:textId="77777777" w:rsidR="00217963" w:rsidRPr="003C6E24" w:rsidRDefault="00887574" w:rsidP="003C6E24">
      <w:pPr>
        <w:pStyle w:val="Nadpis3"/>
        <w:rPr>
          <w:rStyle w:val="Nzevknihy"/>
          <w:b/>
          <w:bCs w:val="0"/>
          <w:smallCaps w:val="0"/>
          <w:spacing w:val="0"/>
          <w:sz w:val="22"/>
        </w:rPr>
      </w:pPr>
      <w:bookmarkStart w:id="4" w:name="_Toc45723474"/>
      <w:r w:rsidRPr="003C6E24">
        <w:t xml:space="preserve">a) </w:t>
      </w:r>
      <w:r w:rsidR="006E2E98" w:rsidRPr="003C6E24">
        <w:t xml:space="preserve">charakteristika </w:t>
      </w:r>
      <w:r w:rsidR="00CC73DB">
        <w:t>území, ve kterém se odstraňovaná stavba nachází, a zastavěného stavebního pozemku</w:t>
      </w:r>
      <w:bookmarkEnd w:id="4"/>
    </w:p>
    <w:p w14:paraId="049135C2" w14:textId="77777777" w:rsidR="006E2E98" w:rsidRDefault="006E2E98" w:rsidP="006E2E98">
      <w:pPr>
        <w:pStyle w:val="Normlntenzabezmezer"/>
      </w:pPr>
      <w:r w:rsidRPr="006E2E98">
        <w:t xml:space="preserve">Stavby byly vybudovány v minulém století jako zařízení staveniště a od té doby jsou k tomuto účelu využívány. </w:t>
      </w:r>
    </w:p>
    <w:p w14:paraId="51C8084D" w14:textId="77777777" w:rsidR="006E2E98" w:rsidRDefault="006E2E98" w:rsidP="006E2E98">
      <w:pPr>
        <w:pStyle w:val="Normlntenzabezmezer"/>
      </w:pPr>
      <w:r w:rsidRPr="006E2E98">
        <w:t xml:space="preserve">Stavby se nacházejí v uzavřeném areálu společnosti </w:t>
      </w:r>
      <w:r>
        <w:t>SAKO</w:t>
      </w:r>
      <w:r w:rsidRPr="006E2E98">
        <w:t xml:space="preserve"> Brno, a.s. při ulici Jedovnická.</w:t>
      </w:r>
    </w:p>
    <w:p w14:paraId="01F34DFD" w14:textId="77777777" w:rsidR="00817402" w:rsidRDefault="00817402" w:rsidP="006E2E98">
      <w:pPr>
        <w:pStyle w:val="Normlntenzabezmezer"/>
      </w:pPr>
    </w:p>
    <w:p w14:paraId="6E03987B" w14:textId="77777777" w:rsidR="00CC73DB" w:rsidRPr="003C6E24" w:rsidRDefault="00CC73DB" w:rsidP="00CC73DB">
      <w:pPr>
        <w:pStyle w:val="Nadpis3"/>
        <w:rPr>
          <w:rFonts w:eastAsia="Times New Roman"/>
          <w:iCs/>
          <w:lang w:eastAsia="cs-CZ"/>
        </w:rPr>
      </w:pPr>
      <w:bookmarkStart w:id="5" w:name="_Toc45723475"/>
      <w:r>
        <w:rPr>
          <w:rFonts w:eastAsia="Times New Roman"/>
          <w:iCs/>
          <w:lang w:eastAsia="cs-CZ"/>
        </w:rPr>
        <w:t>b) s</w:t>
      </w:r>
      <w:r w:rsidRPr="003C6E24">
        <w:rPr>
          <w:rFonts w:eastAsia="Times New Roman"/>
          <w:iCs/>
          <w:lang w:eastAsia="cs-CZ"/>
        </w:rPr>
        <w:t>távající ochranná a bezpečnostní pásma</w:t>
      </w:r>
      <w:bookmarkEnd w:id="5"/>
    </w:p>
    <w:p w14:paraId="1AFDA205" w14:textId="77777777" w:rsidR="00CC73DB" w:rsidRPr="00CC0CFF" w:rsidRDefault="00526751" w:rsidP="00CC0CFF">
      <w:pPr>
        <w:pStyle w:val="Normlntenzabezmezer"/>
      </w:pPr>
      <w:r w:rsidRPr="00CC0CFF">
        <w:t>Vymezené zájmové plochy leží mimo ochranná pásma vodních zdrojů</w:t>
      </w:r>
      <w:r w:rsidR="00CC73DB" w:rsidRPr="00CC0CFF">
        <w:t>.</w:t>
      </w:r>
      <w:r w:rsidRPr="00CC0CFF">
        <w:t xml:space="preserve"> Zájmové území není součástí velkoplošného ani maloplošného zvláště chráněného území a není ani součástí „Chráněné oblasti přirozené akumulace vod</w:t>
      </w:r>
      <w:r w:rsidR="00823F10" w:rsidRPr="00CC0CFF">
        <w:t>“</w:t>
      </w:r>
      <w:r w:rsidRPr="00CC0CFF">
        <w:t xml:space="preserve"> (CHOPAV).</w:t>
      </w:r>
    </w:p>
    <w:p w14:paraId="76D0E0D3" w14:textId="77777777" w:rsidR="009608B8" w:rsidRDefault="00CC0CFF" w:rsidP="00CC0CFF">
      <w:pPr>
        <w:pStyle w:val="Normlntenzabezmezer"/>
      </w:pPr>
      <w:r w:rsidRPr="00CC0CFF">
        <w:t>Před započetím bouracích prací je nutno ověřit situování a hloubky veškerých stávajících inženýrských sítí, povinností zhotovitele stavby je před zahájením zemních prací zajistit vytýčení všech inženýrských sítí od jejich správců.</w:t>
      </w:r>
      <w:r w:rsidR="004F0B1C">
        <w:t xml:space="preserve"> </w:t>
      </w:r>
    </w:p>
    <w:p w14:paraId="0F3D63A0" w14:textId="4292E5DC" w:rsidR="00CC0CFF" w:rsidRPr="00B769C2" w:rsidRDefault="004F0B1C" w:rsidP="00CC0CFF">
      <w:pPr>
        <w:pStyle w:val="Normlntenzabezmezer"/>
        <w:rPr>
          <w:rFonts w:cs="Arial"/>
        </w:rPr>
      </w:pPr>
      <w:r w:rsidRPr="00B769C2">
        <w:t>V blízkosti demolovaných objektů se nachází optický kabel TS Brno</w:t>
      </w:r>
      <w:r w:rsidR="009608B8" w:rsidRPr="00B769C2">
        <w:t xml:space="preserve"> viz vyjádření</w:t>
      </w:r>
      <w:r w:rsidRPr="00B769C2">
        <w:t xml:space="preserve">. Je nutné dodržet podmínky vyjádření – oznámení zahájení prací </w:t>
      </w:r>
      <w:r w:rsidR="004D2079" w:rsidRPr="00B769C2">
        <w:t xml:space="preserve">paní Šimandlové na tel. číslo 604 223 466, během výstavby respektovat ustanovení </w:t>
      </w:r>
      <w:r w:rsidR="004D2079" w:rsidRPr="00B769C2">
        <w:rPr>
          <w:rFonts w:cs="Arial"/>
        </w:rPr>
        <w:t xml:space="preserve">§ 101 a 102 Zákona č. 127/2005 Sb. O elektronických komunikacích, výkopové práce v blízkosti zařízení provádět ručně se zvýšenou opatrností, odkryté vedení </w:t>
      </w:r>
      <w:r w:rsidR="009608B8" w:rsidRPr="00B769C2">
        <w:rPr>
          <w:rFonts w:cs="Arial"/>
        </w:rPr>
        <w:t>musí být řádně zabezpečeno proti poškození, před záhozem HDPE trubek musí být přizván zástupce Technických sítí Brno ke kontrole, z kontroly bude pořízen zápis.</w:t>
      </w:r>
    </w:p>
    <w:p w14:paraId="1888FAE5" w14:textId="5A439CDD" w:rsidR="009608B8" w:rsidRPr="00B769C2" w:rsidRDefault="009608B8" w:rsidP="00CC0CFF">
      <w:pPr>
        <w:pStyle w:val="Normlntenzabezmezer"/>
        <w:rPr>
          <w:rFonts w:cs="Arial"/>
        </w:rPr>
      </w:pPr>
      <w:r w:rsidRPr="00B769C2">
        <w:rPr>
          <w:rFonts w:cs="Arial"/>
        </w:rPr>
        <w:t>Vodovodní a kanalizační přípojky pro areál budou zachovány a podobu výstavby chráněny proti poškození</w:t>
      </w:r>
      <w:r w:rsidR="009C4EF3" w:rsidRPr="00B769C2">
        <w:rPr>
          <w:rFonts w:cs="Arial"/>
        </w:rPr>
        <w:t xml:space="preserve">. V případě potřeby vytýčení sítí V provozování Brněnských vodáren a kanalizací a.s. je nutné se obrátit na pana </w:t>
      </w:r>
      <w:proofErr w:type="spellStart"/>
      <w:proofErr w:type="gramStart"/>
      <w:r w:rsidR="009C4EF3" w:rsidRPr="00B769C2">
        <w:rPr>
          <w:rFonts w:cs="Arial"/>
        </w:rPr>
        <w:t>Stelzela</w:t>
      </w:r>
      <w:proofErr w:type="spellEnd"/>
      <w:r w:rsidR="009C4EF3" w:rsidRPr="00B769C2">
        <w:rPr>
          <w:rFonts w:cs="Arial"/>
        </w:rPr>
        <w:t xml:space="preserve">  a</w:t>
      </w:r>
      <w:proofErr w:type="gramEnd"/>
      <w:r w:rsidR="009C4EF3" w:rsidRPr="00B769C2">
        <w:rPr>
          <w:rFonts w:cs="Arial"/>
        </w:rPr>
        <w:t xml:space="preserve"> pana Prokeše viz vyjádření </w:t>
      </w:r>
      <w:proofErr w:type="spellStart"/>
      <w:r w:rsidR="009C4EF3" w:rsidRPr="00B769C2">
        <w:rPr>
          <w:rFonts w:cs="Arial"/>
        </w:rPr>
        <w:t>BVaK</w:t>
      </w:r>
      <w:proofErr w:type="spellEnd"/>
      <w:r w:rsidR="009C4EF3" w:rsidRPr="00B769C2">
        <w:rPr>
          <w:rFonts w:cs="Arial"/>
        </w:rPr>
        <w:t>.</w:t>
      </w:r>
    </w:p>
    <w:p w14:paraId="7B55BA5A" w14:textId="77777777" w:rsidR="009C4EF3" w:rsidRPr="00B769C2" w:rsidRDefault="009C4EF3" w:rsidP="009C4EF3">
      <w:pPr>
        <w:pStyle w:val="Normlntenzabezmezer"/>
        <w:rPr>
          <w:rFonts w:cs="Arial"/>
        </w:rPr>
      </w:pPr>
      <w:r w:rsidRPr="00B769C2">
        <w:rPr>
          <w:rFonts w:cs="Arial"/>
        </w:rPr>
        <w:t>Při provádění demoličních prací nesmí být žádným způsobem ohrožen provoz dráhy –</w:t>
      </w:r>
    </w:p>
    <w:p w14:paraId="3B909E17" w14:textId="22DB0AEE" w:rsidR="009C4EF3" w:rsidRPr="00B769C2" w:rsidRDefault="009C4EF3" w:rsidP="009C4EF3">
      <w:pPr>
        <w:pStyle w:val="Normlntenzabezmezer"/>
        <w:rPr>
          <w:rFonts w:cs="Arial"/>
        </w:rPr>
      </w:pPr>
      <w:r w:rsidRPr="00B769C2">
        <w:rPr>
          <w:rFonts w:cs="Arial"/>
        </w:rPr>
        <w:t>vlečky SAKO Brno a.s.</w:t>
      </w:r>
    </w:p>
    <w:p w14:paraId="0EF2DF2E" w14:textId="77777777" w:rsidR="00CC0CFF" w:rsidRPr="00CC0CFF" w:rsidRDefault="00CC0CFF" w:rsidP="00CC0CFF">
      <w:pPr>
        <w:pStyle w:val="Normlntenzabezmezer"/>
      </w:pPr>
      <w:r w:rsidRPr="00CC0CFF">
        <w:t>Zemní práce musí být prováděny v souladu s „ČSN 73 30 50“ a dalšími souvisejícími normami a předpisy.</w:t>
      </w:r>
    </w:p>
    <w:p w14:paraId="1668B27E" w14:textId="77777777" w:rsidR="00CC73DB" w:rsidRDefault="00CC73DB" w:rsidP="006E2E98">
      <w:pPr>
        <w:pStyle w:val="Normlntenzabezmezer"/>
      </w:pPr>
    </w:p>
    <w:p w14:paraId="499449E4" w14:textId="77777777" w:rsidR="00823F10" w:rsidRPr="003C6E24" w:rsidRDefault="00823F10" w:rsidP="00823F10">
      <w:pPr>
        <w:pStyle w:val="Nadpis3"/>
        <w:rPr>
          <w:rFonts w:eastAsia="Times New Roman"/>
          <w:iCs/>
          <w:lang w:eastAsia="cs-CZ"/>
        </w:rPr>
      </w:pPr>
      <w:bookmarkStart w:id="6" w:name="_Toc45723476"/>
      <w:r>
        <w:rPr>
          <w:rFonts w:eastAsia="Times New Roman"/>
          <w:iCs/>
          <w:lang w:eastAsia="cs-CZ"/>
        </w:rPr>
        <w:t xml:space="preserve">c) </w:t>
      </w:r>
      <w:r w:rsidRPr="003C6E24">
        <w:rPr>
          <w:rFonts w:eastAsia="Times New Roman"/>
          <w:iCs/>
          <w:lang w:eastAsia="cs-CZ"/>
        </w:rPr>
        <w:t>ochran</w:t>
      </w:r>
      <w:r>
        <w:rPr>
          <w:rFonts w:eastAsia="Times New Roman"/>
          <w:iCs/>
          <w:lang w:eastAsia="cs-CZ"/>
        </w:rPr>
        <w:t>a území podle jiných právních předpisů</w:t>
      </w:r>
      <w:bookmarkEnd w:id="6"/>
    </w:p>
    <w:p w14:paraId="58E3798E" w14:textId="7713EE72" w:rsidR="00526751" w:rsidRDefault="00823F10" w:rsidP="006E2E98">
      <w:pPr>
        <w:pStyle w:val="Normlntenzabezmezer"/>
      </w:pPr>
      <w:r>
        <w:t>Lokalita leží mimo ptačí oblasti a evropsky významné lokality „Natura 2 000“. Dotčené území se nenachází v památkové rezervaci ani zóně, nemá ani žádnou zvláštní ochranu.</w:t>
      </w:r>
    </w:p>
    <w:p w14:paraId="3083E111" w14:textId="77777777" w:rsidR="00DC65A3" w:rsidRPr="00B769C2" w:rsidRDefault="00DC65A3" w:rsidP="00DC65A3">
      <w:pPr>
        <w:pStyle w:val="Normlntenzabezmezer"/>
      </w:pPr>
      <w:r w:rsidRPr="00B769C2">
        <w:t>OŽP MMB doporučuje realizovat demolici, pokud možno, mimo hnízdní období ptáků (hnízdní období probíhá cca od 1.4. do 31.8.). V případě netopýrů je situace komplikovanější, protože vytvářejí letní a zimní kolonie a jejich výskyt je v některých objektech možný i celoročně.</w:t>
      </w:r>
    </w:p>
    <w:p w14:paraId="4E5E0352" w14:textId="77777777" w:rsidR="00DC65A3" w:rsidRPr="00B769C2" w:rsidRDefault="00DC65A3" w:rsidP="00DC65A3">
      <w:pPr>
        <w:pStyle w:val="Normlntenzabezmezer"/>
      </w:pPr>
      <w:r w:rsidRPr="00B769C2">
        <w:t xml:space="preserve">Před zahájením demolice je nutné objekty prohlédnout a o prohlídce provést zápis do stavebního deníku. V případě nálezu živočichů (např. hnízdících ptáků nebo netopýrů) je nutné situaci konzultovat s odborným zoologem (např. se zástupcem České společnosti ornitologické (ČSO), tel: 737 301 664, 603 901 754, e-mail: horakkrystof@seznam.cz, jmpcso@seznam.cz nebo České společnosti pro ochranu netopýrů (ČESON), tel.: 774 548 855, 737 121 672, e-mail: netopyr@ceson.org, popř. s pracovníkem Agentury ochrany přírody a krajiny ČR, Kotlářská 51, Brno, tel: 547 427 662 (647)). Pokyny odborného zoologa je třeba při dalším postupu respektovat, aby nedošlo k porušení zákona o ochraně přírody. </w:t>
      </w:r>
    </w:p>
    <w:p w14:paraId="07B238D5" w14:textId="77777777" w:rsidR="00DC65A3" w:rsidRDefault="00DC65A3" w:rsidP="00DC65A3">
      <w:pPr>
        <w:pStyle w:val="Normlntenzabezmezer"/>
      </w:pPr>
      <w:r w:rsidRPr="00B769C2">
        <w:t xml:space="preserve">V případě, že v dané lokalitě bude výskyt zvláště chráněných druhů živočichů (rorýsi, netopýři) prokázán, je nutné obrátit se na příslušný orgán ochrany přírody, tj. Krajský úřad Jihomoravského kraje, Odbor životního prostředí, Žerotínovo nám. 449/3, 601 82 Brno, který </w:t>
      </w:r>
      <w:r w:rsidRPr="00B769C2">
        <w:lastRenderedPageBreak/>
        <w:t>rozhodne, zda je nutné udělení výjimky ze zákazů u zvláště chráněných druhů živočichů, v souladu s ustanovením § 56 zákona o ochraně přírody.</w:t>
      </w:r>
    </w:p>
    <w:p w14:paraId="52AF7763" w14:textId="77777777" w:rsidR="00DC65A3" w:rsidRDefault="00DC65A3" w:rsidP="006E2E98">
      <w:pPr>
        <w:pStyle w:val="Normlntenzabezmezer"/>
      </w:pPr>
    </w:p>
    <w:p w14:paraId="0D90F4A5" w14:textId="77777777" w:rsidR="00823F10" w:rsidRPr="003C6E24" w:rsidRDefault="00823F10" w:rsidP="00823F10">
      <w:pPr>
        <w:pStyle w:val="Nadpis3"/>
        <w:rPr>
          <w:rFonts w:eastAsia="Times New Roman"/>
          <w:iCs/>
          <w:lang w:eastAsia="cs-CZ"/>
        </w:rPr>
      </w:pPr>
      <w:bookmarkStart w:id="7" w:name="_Toc45723477"/>
      <w:r w:rsidRPr="003C6E24">
        <w:rPr>
          <w:rFonts w:eastAsia="Times New Roman"/>
          <w:iCs/>
          <w:lang w:eastAsia="cs-CZ"/>
        </w:rPr>
        <w:t xml:space="preserve">d) </w:t>
      </w:r>
      <w:r>
        <w:rPr>
          <w:rFonts w:eastAsia="Times New Roman"/>
          <w:iCs/>
          <w:lang w:eastAsia="cs-CZ"/>
        </w:rPr>
        <w:t>p</w:t>
      </w:r>
      <w:r w:rsidRPr="003C6E24">
        <w:rPr>
          <w:rFonts w:eastAsia="Times New Roman"/>
          <w:iCs/>
          <w:lang w:eastAsia="cs-CZ"/>
        </w:rPr>
        <w:t>oloha vzhledem k záplavovému území, poddolovanému území apod.</w:t>
      </w:r>
      <w:bookmarkEnd w:id="7"/>
    </w:p>
    <w:p w14:paraId="0D062859" w14:textId="77777777" w:rsidR="00686E7B" w:rsidRDefault="00686E7B" w:rsidP="00686E7B">
      <w:pPr>
        <w:pStyle w:val="Normlntenzabezmezer"/>
      </w:pPr>
      <w:r w:rsidRPr="008B3B25">
        <w:t xml:space="preserve">Zájmová lokalita ani její část se nenachází v záplavovém území Q100 a není v databází </w:t>
      </w:r>
      <w:proofErr w:type="gramStart"/>
      <w:r w:rsidRPr="008B3B25">
        <w:t>ČGS</w:t>
      </w:r>
      <w:r w:rsidR="00664FDB">
        <w:t xml:space="preserve"> - </w:t>
      </w:r>
      <w:r w:rsidRPr="008B3B25">
        <w:t>G</w:t>
      </w:r>
      <w:r w:rsidR="00664FDB">
        <w:t>eofondu</w:t>
      </w:r>
      <w:proofErr w:type="gramEnd"/>
      <w:r w:rsidRPr="008B3B25">
        <w:t xml:space="preserve"> evidována jako aktivní ani potenciální plocha sesuvu.</w:t>
      </w:r>
    </w:p>
    <w:p w14:paraId="40469FF8" w14:textId="77777777" w:rsidR="00823F10" w:rsidRDefault="00823F10" w:rsidP="006E2E98">
      <w:pPr>
        <w:pStyle w:val="Normlntenzabezmezer"/>
      </w:pPr>
    </w:p>
    <w:p w14:paraId="7073CB6D" w14:textId="77777777" w:rsidR="00686E7B" w:rsidRPr="00C40997" w:rsidRDefault="00BD4D38" w:rsidP="00686E7B">
      <w:pPr>
        <w:pStyle w:val="Nadpis3"/>
        <w:tabs>
          <w:tab w:val="left" w:pos="284"/>
        </w:tabs>
      </w:pPr>
      <w:bookmarkStart w:id="8" w:name="_Toc45723478"/>
      <w:r>
        <w:t xml:space="preserve">e) </w:t>
      </w:r>
      <w:r w:rsidR="00686E7B">
        <w:t>vliv odstranění stavby na okolní stavby a pozemky, ochrana okolí, vliv odstranění stavby na odtokové poměry, vliv odstranění stavby na požární bezpečnost okolních staveb a pozemků</w:t>
      </w:r>
      <w:bookmarkEnd w:id="8"/>
    </w:p>
    <w:p w14:paraId="255008BD" w14:textId="77777777" w:rsidR="00686E7B" w:rsidRPr="00686E7B" w:rsidRDefault="00686E7B" w:rsidP="00686E7B">
      <w:pPr>
        <w:pStyle w:val="Normlntenzabezmezer"/>
      </w:pPr>
      <w:r w:rsidRPr="00686E7B">
        <w:t>Po dobu odstraňování staveb bude okolí dočasně ovlivněno zvýšeným hlukem a prašností. Tento vliv bude omezen bezpečnostními a organizačními opatřeními přímo na staveništi při provádění (např. zkrápění vodou, omezení doby použití hlučných mechanizmů), v souladu s hygienickými limity dle požadavků nařízení vlády č. 272/2011 Sb. o ochraně zdraví před nepříznivými účinky hluku a vibrací.</w:t>
      </w:r>
    </w:p>
    <w:p w14:paraId="0A6C031F" w14:textId="77777777" w:rsidR="00686E7B" w:rsidRPr="00686E7B" w:rsidRDefault="00686E7B" w:rsidP="00686E7B">
      <w:pPr>
        <w:pStyle w:val="Normlntenzabezmezer"/>
      </w:pPr>
      <w:r w:rsidRPr="00686E7B">
        <w:t>Odstraněním staveb se vliv na odtokové poměry území a požární bezpečnost staveb v okolí nezmění.</w:t>
      </w:r>
    </w:p>
    <w:p w14:paraId="6CC0622C" w14:textId="77777777" w:rsidR="00686E7B" w:rsidRDefault="00686E7B" w:rsidP="006E2E98">
      <w:pPr>
        <w:pStyle w:val="Normlntenzabezmezer"/>
      </w:pPr>
    </w:p>
    <w:p w14:paraId="2B832EBE" w14:textId="77777777" w:rsidR="00686E7B" w:rsidRPr="00C40997" w:rsidRDefault="008959AB" w:rsidP="00686E7B">
      <w:pPr>
        <w:pStyle w:val="Nadpis3"/>
        <w:tabs>
          <w:tab w:val="left" w:pos="284"/>
        </w:tabs>
      </w:pPr>
      <w:bookmarkStart w:id="9" w:name="_Toc45723479"/>
      <w:r>
        <w:t xml:space="preserve">f) </w:t>
      </w:r>
      <w:r w:rsidR="00686E7B">
        <w:t>zhodnocení kontaminace prostoru stavby látkami škodlivými pro životní prostředí v případě jejich výskytu</w:t>
      </w:r>
      <w:bookmarkEnd w:id="9"/>
    </w:p>
    <w:p w14:paraId="62A4F322" w14:textId="77777777" w:rsidR="00E26C35" w:rsidRDefault="00686E7B" w:rsidP="005010CC">
      <w:pPr>
        <w:pStyle w:val="Normlntenzabezmezer"/>
      </w:pPr>
      <w:r>
        <w:t xml:space="preserve">Nepředpokládá se kontaminace prostoru stavby látkami škodlivými pro životní prostředí. </w:t>
      </w:r>
    </w:p>
    <w:p w14:paraId="6D103D76" w14:textId="77777777" w:rsidR="005010CC" w:rsidRDefault="005010CC" w:rsidP="005010CC">
      <w:pPr>
        <w:pStyle w:val="Normlntenzabezmezer"/>
        <w:rPr>
          <w:rFonts w:eastAsia="Times New Roman"/>
          <w:iCs/>
        </w:rPr>
      </w:pPr>
    </w:p>
    <w:p w14:paraId="2312B71A" w14:textId="77777777" w:rsidR="00BA79F6" w:rsidRPr="003C6E24" w:rsidRDefault="00430583" w:rsidP="00BA79F6">
      <w:pPr>
        <w:pStyle w:val="Nadpis3"/>
        <w:rPr>
          <w:rFonts w:eastAsia="Times New Roman"/>
          <w:iCs/>
          <w:lang w:eastAsia="cs-CZ"/>
        </w:rPr>
      </w:pPr>
      <w:bookmarkStart w:id="10" w:name="_Toc45723480"/>
      <w:r>
        <w:rPr>
          <w:rFonts w:eastAsia="Times New Roman"/>
          <w:iCs/>
          <w:lang w:eastAsia="cs-CZ"/>
        </w:rPr>
        <w:t>g</w:t>
      </w:r>
      <w:r w:rsidR="00BA79F6" w:rsidRPr="003C6E24">
        <w:rPr>
          <w:rFonts w:eastAsia="Times New Roman"/>
          <w:iCs/>
          <w:lang w:eastAsia="cs-CZ"/>
        </w:rPr>
        <w:t>) požadavky na kácení dřevin</w:t>
      </w:r>
      <w:bookmarkEnd w:id="10"/>
    </w:p>
    <w:p w14:paraId="20073531" w14:textId="1FBB5731" w:rsidR="00BA79F6" w:rsidRPr="00664F34" w:rsidRDefault="00E4215D" w:rsidP="00BA79F6">
      <w:pPr>
        <w:pStyle w:val="Normlntenzabezmezer"/>
      </w:pPr>
      <w:r>
        <w:t xml:space="preserve">Požadavky na kácení dřevin v rámci bouracích prací nejsou. </w:t>
      </w:r>
      <w:r w:rsidR="004750E0">
        <w:t>Dotčené p</w:t>
      </w:r>
      <w:r>
        <w:t>ozemky jsou bez vzrostlých stromů a keřů.</w:t>
      </w:r>
    </w:p>
    <w:p w14:paraId="4F905CFC" w14:textId="77777777" w:rsidR="00BA79F6" w:rsidRPr="00B11B87" w:rsidRDefault="00BA79F6" w:rsidP="00BA79F6">
      <w:pPr>
        <w:spacing w:line="276" w:lineRule="auto"/>
        <w:ind w:firstLine="708"/>
        <w:jc w:val="both"/>
        <w:rPr>
          <w:rFonts w:ascii="Arial Narrow" w:hAnsi="Arial Narrow" w:cs="Arial"/>
        </w:rPr>
      </w:pPr>
    </w:p>
    <w:p w14:paraId="704C149F" w14:textId="77777777" w:rsidR="00BA79F6" w:rsidRPr="003C6E24" w:rsidRDefault="00430583" w:rsidP="00BA79F6">
      <w:pPr>
        <w:pStyle w:val="Nadpis3"/>
        <w:rPr>
          <w:rFonts w:eastAsia="Times New Roman"/>
          <w:iCs/>
          <w:lang w:eastAsia="cs-CZ"/>
        </w:rPr>
      </w:pPr>
      <w:bookmarkStart w:id="11" w:name="_Toc45723481"/>
      <w:r>
        <w:rPr>
          <w:rFonts w:eastAsia="Times New Roman"/>
          <w:iCs/>
          <w:lang w:eastAsia="cs-CZ"/>
        </w:rPr>
        <w:t>h</w:t>
      </w:r>
      <w:r w:rsidR="00BA79F6" w:rsidRPr="003C6E24">
        <w:rPr>
          <w:rFonts w:eastAsia="Times New Roman"/>
          <w:iCs/>
          <w:lang w:eastAsia="cs-CZ"/>
        </w:rPr>
        <w:t>)</w:t>
      </w:r>
      <w:r w:rsidR="003C6E24">
        <w:rPr>
          <w:rFonts w:eastAsia="Times New Roman"/>
          <w:iCs/>
          <w:lang w:eastAsia="cs-CZ"/>
        </w:rPr>
        <w:t xml:space="preserve"> </w:t>
      </w:r>
      <w:r w:rsidR="00BA79F6" w:rsidRPr="003C6E24">
        <w:rPr>
          <w:rFonts w:eastAsia="Times New Roman"/>
          <w:iCs/>
          <w:lang w:eastAsia="cs-CZ"/>
        </w:rPr>
        <w:t>věcné a časové vazby stavby, podmiňující, vyvolané, související investice</w:t>
      </w:r>
      <w:bookmarkEnd w:id="11"/>
    </w:p>
    <w:p w14:paraId="31C0193D" w14:textId="77777777" w:rsidR="00430583" w:rsidRDefault="00BA79F6" w:rsidP="0038760D">
      <w:pPr>
        <w:pStyle w:val="Normlntenzabezmezer"/>
      </w:pPr>
      <w:r w:rsidRPr="00E83F94">
        <w:t xml:space="preserve">Před zahájením </w:t>
      </w:r>
      <w:r>
        <w:t xml:space="preserve">demoličních </w:t>
      </w:r>
      <w:r w:rsidRPr="00E83F94">
        <w:t xml:space="preserve">prací je nezbytné zajistit vytýčení </w:t>
      </w:r>
      <w:r>
        <w:t xml:space="preserve">dotčených </w:t>
      </w:r>
      <w:r w:rsidRPr="00E83F94">
        <w:t xml:space="preserve">inženýrských sítí jejich </w:t>
      </w:r>
      <w:proofErr w:type="gramStart"/>
      <w:r w:rsidRPr="00E83F94">
        <w:t>vlastníkem</w:t>
      </w:r>
      <w:proofErr w:type="gramEnd"/>
      <w:r w:rsidRPr="00E83F94">
        <w:t xml:space="preserve"> popř. jinými oprávněnými organizacemi a zajistit jejich </w:t>
      </w:r>
      <w:r>
        <w:t xml:space="preserve">bezpečné </w:t>
      </w:r>
      <w:r w:rsidRPr="00E83F94">
        <w:t>odpojení. O tomto bude proved</w:t>
      </w:r>
      <w:r>
        <w:t xml:space="preserve">en zápis do stavebního deníku. </w:t>
      </w:r>
    </w:p>
    <w:p w14:paraId="31950E34" w14:textId="77777777" w:rsidR="0038760D" w:rsidRDefault="0038760D" w:rsidP="001603AA">
      <w:pPr>
        <w:pStyle w:val="Normlntenzabezmezer"/>
        <w:rPr>
          <w:b/>
          <w:bCs/>
        </w:rPr>
      </w:pPr>
    </w:p>
    <w:p w14:paraId="3E4EC0F3" w14:textId="77777777" w:rsidR="00BA18E7" w:rsidRDefault="00BA18E7" w:rsidP="00BA18E7">
      <w:pPr>
        <w:pStyle w:val="Nadpis3"/>
        <w:rPr>
          <w:rFonts w:eastAsia="Times New Roman"/>
          <w:iCs/>
          <w:lang w:eastAsia="cs-CZ"/>
        </w:rPr>
      </w:pPr>
      <w:bookmarkStart w:id="12" w:name="_Toc45723482"/>
      <w:r>
        <w:rPr>
          <w:rFonts w:eastAsia="Times New Roman"/>
          <w:iCs/>
          <w:lang w:eastAsia="cs-CZ"/>
        </w:rPr>
        <w:t>i</w:t>
      </w:r>
      <w:r w:rsidRPr="003C6E24">
        <w:rPr>
          <w:rFonts w:eastAsia="Times New Roman"/>
          <w:iCs/>
          <w:lang w:eastAsia="cs-CZ"/>
        </w:rPr>
        <w:t>)</w:t>
      </w:r>
      <w:r>
        <w:rPr>
          <w:rFonts w:eastAsia="Times New Roman"/>
          <w:iCs/>
          <w:lang w:eastAsia="cs-CZ"/>
        </w:rPr>
        <w:t xml:space="preserve"> seznam sousedících pozemků podle katastru nemovitostí nezbytných k provedení bouracích prací</w:t>
      </w:r>
      <w:bookmarkEnd w:id="12"/>
    </w:p>
    <w:p w14:paraId="6E4CFEDE" w14:textId="77777777" w:rsidR="00F432DD" w:rsidRPr="0038760D" w:rsidRDefault="00F432DD" w:rsidP="00F432DD">
      <w:pPr>
        <w:pStyle w:val="Normlntenzabezmezer"/>
      </w:pPr>
      <w:r w:rsidRPr="0038760D">
        <w:t xml:space="preserve">Vzhledem k umístění dotčeného území v uzavřeném areálu společnosti </w:t>
      </w:r>
      <w:r w:rsidR="00027C3C">
        <w:t>SAKO</w:t>
      </w:r>
      <w:r w:rsidRPr="0038760D">
        <w:t xml:space="preserve"> Brno, a.s. při ulici Jedovnická se nepředpokládá využití jiných pozemků než vlastních</w:t>
      </w:r>
      <w:r w:rsidR="00027C3C">
        <w:t>.</w:t>
      </w:r>
    </w:p>
    <w:p w14:paraId="1ADA8DA0" w14:textId="77777777" w:rsidR="002B3A19" w:rsidRPr="00F432DD" w:rsidRDefault="002B3A19" w:rsidP="00F432DD">
      <w:pPr>
        <w:rPr>
          <w:lang w:eastAsia="cs-CZ"/>
        </w:rPr>
      </w:pPr>
    </w:p>
    <w:p w14:paraId="4D77FA15" w14:textId="77777777" w:rsidR="005010CC" w:rsidRDefault="005010CC" w:rsidP="00DE45E6">
      <w:pPr>
        <w:pStyle w:val="Normlntenzabezmezer"/>
      </w:pPr>
    </w:p>
    <w:p w14:paraId="0EC1D1FF" w14:textId="77777777" w:rsidR="00EF5F7F" w:rsidRDefault="00EF5F7F" w:rsidP="00DE45E6">
      <w:pPr>
        <w:pStyle w:val="Normlntenzabezmezer"/>
      </w:pPr>
    </w:p>
    <w:p w14:paraId="3CA1D95C" w14:textId="77777777" w:rsidR="0038760D" w:rsidRDefault="0038760D" w:rsidP="0038760D">
      <w:pPr>
        <w:pStyle w:val="Nadpis2"/>
        <w:rPr>
          <w:rFonts w:eastAsia="Times New Roman"/>
          <w:lang w:eastAsia="cs-CZ"/>
        </w:rPr>
      </w:pPr>
      <w:bookmarkStart w:id="13" w:name="_Toc45723483"/>
      <w:r>
        <w:rPr>
          <w:rFonts w:eastAsia="Times New Roman"/>
          <w:lang w:eastAsia="cs-CZ"/>
        </w:rPr>
        <w:t>B</w:t>
      </w:r>
      <w:r w:rsidRPr="009A4947">
        <w:rPr>
          <w:rFonts w:eastAsia="Times New Roman"/>
          <w:lang w:eastAsia="cs-CZ"/>
        </w:rPr>
        <w:t>.</w:t>
      </w:r>
      <w:r>
        <w:rPr>
          <w:rFonts w:eastAsia="Times New Roman"/>
          <w:lang w:eastAsia="cs-CZ"/>
        </w:rPr>
        <w:t>2</w:t>
      </w:r>
      <w:r w:rsidR="00235CC7">
        <w:rPr>
          <w:rFonts w:eastAsia="Times New Roman"/>
          <w:lang w:eastAsia="cs-CZ"/>
        </w:rPr>
        <w:tab/>
      </w:r>
      <w:r>
        <w:rPr>
          <w:rFonts w:eastAsia="Times New Roman"/>
          <w:lang w:eastAsia="cs-CZ"/>
        </w:rPr>
        <w:t>Celkový popis stavby</w:t>
      </w:r>
      <w:bookmarkEnd w:id="13"/>
    </w:p>
    <w:p w14:paraId="281C8154" w14:textId="77777777" w:rsidR="00887574" w:rsidRPr="007E0203" w:rsidRDefault="00BA18E7" w:rsidP="00846E6C">
      <w:pPr>
        <w:pStyle w:val="Nadpis3"/>
        <w:rPr>
          <w:rFonts w:eastAsia="Times New Roman"/>
          <w:lang w:eastAsia="cs-CZ"/>
        </w:rPr>
      </w:pPr>
      <w:bookmarkStart w:id="14" w:name="_Toc45723484"/>
      <w:r>
        <w:rPr>
          <w:rFonts w:eastAsia="Times New Roman"/>
          <w:lang w:eastAsia="cs-CZ"/>
        </w:rPr>
        <w:t>a)</w:t>
      </w:r>
      <w:r w:rsidR="0038760D" w:rsidRPr="007E0203">
        <w:rPr>
          <w:rFonts w:eastAsia="Times New Roman"/>
          <w:lang w:eastAsia="cs-CZ"/>
        </w:rPr>
        <w:t xml:space="preserve"> </w:t>
      </w:r>
      <w:r w:rsidR="00AF7327">
        <w:rPr>
          <w:rFonts w:eastAsia="Times New Roman"/>
          <w:lang w:eastAsia="cs-CZ"/>
        </w:rPr>
        <w:t>d</w:t>
      </w:r>
      <w:r w:rsidR="0038760D" w:rsidRPr="007E0203">
        <w:rPr>
          <w:rFonts w:eastAsia="Times New Roman"/>
          <w:lang w:eastAsia="cs-CZ"/>
        </w:rPr>
        <w:t>ruh a účel užívání odstraňované stavby</w:t>
      </w:r>
      <w:bookmarkEnd w:id="14"/>
    </w:p>
    <w:p w14:paraId="689A445C" w14:textId="77777777" w:rsidR="00027C3C" w:rsidRPr="0038760D" w:rsidRDefault="00027C3C" w:rsidP="00DE45E6">
      <w:pPr>
        <w:pStyle w:val="Normlntenzabezmezer"/>
      </w:pPr>
      <w:r>
        <w:t>Jedná se o objekty</w:t>
      </w:r>
      <w:r w:rsidRPr="0038760D">
        <w:t xml:space="preserve"> dotčeného území v uzavřeném areálu společnosti </w:t>
      </w:r>
      <w:r>
        <w:t>SAKO</w:t>
      </w:r>
      <w:r w:rsidR="00AF7327">
        <w:t xml:space="preserve"> Brno, a.s</w:t>
      </w:r>
      <w:r>
        <w:t>.</w:t>
      </w:r>
    </w:p>
    <w:p w14:paraId="013D7D41" w14:textId="77777777" w:rsidR="00027C3C" w:rsidRDefault="00027C3C" w:rsidP="00DE45E6">
      <w:pPr>
        <w:pStyle w:val="Normlntenzabezmezer"/>
      </w:pPr>
    </w:p>
    <w:p w14:paraId="2EFAD572" w14:textId="77777777" w:rsidR="0038760D" w:rsidRDefault="0038760D" w:rsidP="00DE45E6">
      <w:pPr>
        <w:pStyle w:val="Normlntenzabezmezer"/>
      </w:pPr>
      <w:r w:rsidRPr="00EF5F7F">
        <w:rPr>
          <w:b/>
        </w:rPr>
        <w:t>Objekt č. 03</w:t>
      </w:r>
      <w:r w:rsidRPr="00AB3541">
        <w:t xml:space="preserve"> – Sklad, hala I: </w:t>
      </w:r>
      <w:proofErr w:type="spellStart"/>
      <w:r w:rsidRPr="00AB3541">
        <w:t>p.č</w:t>
      </w:r>
      <w:proofErr w:type="spellEnd"/>
      <w:r w:rsidRPr="00AB3541">
        <w:t>. 7884/6</w:t>
      </w:r>
      <w:r>
        <w:t>0</w:t>
      </w:r>
    </w:p>
    <w:p w14:paraId="67DB3E0B" w14:textId="4F60924D" w:rsidR="0038760D" w:rsidRDefault="0038760D" w:rsidP="00DE45E6">
      <w:pPr>
        <w:pStyle w:val="Normlntenzabezmezer"/>
      </w:pPr>
      <w:r w:rsidRPr="00EF5F7F">
        <w:rPr>
          <w:b/>
        </w:rPr>
        <w:lastRenderedPageBreak/>
        <w:t>Objekt č. 18</w:t>
      </w:r>
      <w:r w:rsidRPr="00AB3541">
        <w:t xml:space="preserve"> – Sklad netemperovaný: </w:t>
      </w:r>
      <w:proofErr w:type="spellStart"/>
      <w:r w:rsidRPr="00AB3541">
        <w:t>p.č</w:t>
      </w:r>
      <w:proofErr w:type="spellEnd"/>
      <w:r w:rsidRPr="00AB3541">
        <w:t xml:space="preserve">. </w:t>
      </w:r>
      <w:r w:rsidR="00A64D05">
        <w:t>1784/1</w:t>
      </w:r>
    </w:p>
    <w:p w14:paraId="60E82A36" w14:textId="77777777" w:rsidR="0038760D" w:rsidRDefault="0038760D" w:rsidP="00DE45E6">
      <w:pPr>
        <w:pStyle w:val="Normlntenzabezmezer"/>
      </w:pPr>
      <w:r w:rsidRPr="00EF5F7F">
        <w:rPr>
          <w:b/>
        </w:rPr>
        <w:t>Zpevněná plocha</w:t>
      </w:r>
      <w:r w:rsidRPr="00AB3541">
        <w:t xml:space="preserve">: </w:t>
      </w:r>
      <w:proofErr w:type="spellStart"/>
      <w:r w:rsidRPr="00AB3541">
        <w:t>p.č</w:t>
      </w:r>
      <w:proofErr w:type="spellEnd"/>
      <w:r w:rsidRPr="00AB3541">
        <w:t>. 7884/1</w:t>
      </w:r>
    </w:p>
    <w:p w14:paraId="45A845AA" w14:textId="77777777" w:rsidR="0038760D" w:rsidRDefault="0038760D" w:rsidP="00DE45E6">
      <w:pPr>
        <w:pStyle w:val="Normlntenzabezmezer"/>
      </w:pPr>
      <w:r w:rsidRPr="00EF5F7F">
        <w:rPr>
          <w:b/>
        </w:rPr>
        <w:t>Objekt č. 19</w:t>
      </w:r>
      <w:r w:rsidRPr="00AB3541">
        <w:t xml:space="preserve"> – Sklad temperovaný: </w:t>
      </w:r>
      <w:proofErr w:type="spellStart"/>
      <w:r w:rsidRPr="00AB3541">
        <w:t>p.č</w:t>
      </w:r>
      <w:proofErr w:type="spellEnd"/>
      <w:r w:rsidRPr="00AB3541">
        <w:t>. 7884/</w:t>
      </w:r>
      <w:r>
        <w:t>5</w:t>
      </w:r>
      <w:r w:rsidRPr="00AB3541">
        <w:t>6</w:t>
      </w:r>
    </w:p>
    <w:p w14:paraId="638561BF" w14:textId="77777777" w:rsidR="0038760D" w:rsidRDefault="0038760D" w:rsidP="00DE45E6">
      <w:pPr>
        <w:pStyle w:val="Normlntenzabezmezer"/>
      </w:pPr>
      <w:r w:rsidRPr="00EF5F7F">
        <w:rPr>
          <w:b/>
        </w:rPr>
        <w:t>Objekt č. 20</w:t>
      </w:r>
      <w:r w:rsidRPr="00AB3541">
        <w:t xml:space="preserve"> – Sklad, hala II: </w:t>
      </w:r>
      <w:proofErr w:type="spellStart"/>
      <w:r w:rsidRPr="00AB3541">
        <w:t>p.č</w:t>
      </w:r>
      <w:proofErr w:type="spellEnd"/>
      <w:r w:rsidRPr="00AB3541">
        <w:t>. 7884/57</w:t>
      </w:r>
    </w:p>
    <w:p w14:paraId="0F03D82C" w14:textId="77777777" w:rsidR="007D0DCD" w:rsidRPr="007D0DCD" w:rsidRDefault="007D0DCD" w:rsidP="00DE45E6">
      <w:pPr>
        <w:pStyle w:val="Normlntenzabezmezer"/>
      </w:pPr>
    </w:p>
    <w:p w14:paraId="2188C629" w14:textId="638C41B9" w:rsidR="0038760D" w:rsidRPr="0038760D" w:rsidRDefault="00AF7327" w:rsidP="006A489A">
      <w:pPr>
        <w:pStyle w:val="Nadpis3"/>
        <w:rPr>
          <w:rFonts w:eastAsia="Times New Roman"/>
          <w:lang w:eastAsia="cs-CZ"/>
        </w:rPr>
      </w:pPr>
      <w:bookmarkStart w:id="15" w:name="_Toc45723485"/>
      <w:r>
        <w:rPr>
          <w:rFonts w:eastAsia="Times New Roman"/>
          <w:lang w:eastAsia="cs-CZ"/>
        </w:rPr>
        <w:t>b)</w:t>
      </w:r>
      <w:r w:rsidR="00887574" w:rsidRPr="0038760D">
        <w:rPr>
          <w:rFonts w:eastAsia="Times New Roman"/>
          <w:lang w:eastAsia="cs-CZ"/>
        </w:rPr>
        <w:t xml:space="preserve"> </w:t>
      </w:r>
      <w:r>
        <w:rPr>
          <w:rFonts w:eastAsia="Times New Roman"/>
          <w:lang w:eastAsia="cs-CZ"/>
        </w:rPr>
        <w:t>i</w:t>
      </w:r>
      <w:r w:rsidR="0038760D" w:rsidRPr="0038760D">
        <w:rPr>
          <w:rFonts w:eastAsia="Times New Roman"/>
          <w:lang w:eastAsia="cs-CZ"/>
        </w:rPr>
        <w:t>nformace o tom</w:t>
      </w:r>
      <w:r w:rsidR="00EA6823">
        <w:rPr>
          <w:rFonts w:eastAsia="Times New Roman"/>
          <w:lang w:eastAsia="cs-CZ"/>
        </w:rPr>
        <w:t>,</w:t>
      </w:r>
      <w:r w:rsidR="0038760D" w:rsidRPr="0038760D">
        <w:rPr>
          <w:rFonts w:eastAsia="Times New Roman"/>
          <w:lang w:eastAsia="cs-CZ"/>
        </w:rPr>
        <w:t xml:space="preserve"> zda a v jakých částech dokumentace jsou zohledněny podmínky závazných stanovisek dotčených orgánů</w:t>
      </w:r>
      <w:bookmarkEnd w:id="15"/>
    </w:p>
    <w:p w14:paraId="1726D2E3" w14:textId="61225DAE" w:rsidR="0038760D" w:rsidRPr="00D35F5F" w:rsidRDefault="00EA6823" w:rsidP="0038760D">
      <w:pPr>
        <w:pStyle w:val="Normlntenzabezmezer"/>
      </w:pPr>
      <w:r>
        <w:t>P</w:t>
      </w:r>
      <w:r w:rsidR="0038760D" w:rsidRPr="00D35F5F">
        <w:t xml:space="preserve">odmínky, vyplývající ze závazných stanovisek dotčených orgánů, </w:t>
      </w:r>
      <w:r>
        <w:t>jsou</w:t>
      </w:r>
      <w:r w:rsidR="0038760D" w:rsidRPr="00D35F5F">
        <w:t xml:space="preserve"> zapracovány </w:t>
      </w:r>
      <w:r>
        <w:t>do</w:t>
      </w:r>
      <w:r w:rsidR="0038760D" w:rsidRPr="00D35F5F">
        <w:t xml:space="preserve"> projektové dokumentac</w:t>
      </w:r>
      <w:r>
        <w:t>e</w:t>
      </w:r>
      <w:r w:rsidR="0038760D" w:rsidRPr="00D35F5F">
        <w:t>.</w:t>
      </w:r>
      <w:r>
        <w:t xml:space="preserve"> Podmínky jsou zapracovány v této souhrnné technické zprávě a v situacích, kde byl doplněn kabel TSB.</w:t>
      </w:r>
    </w:p>
    <w:p w14:paraId="47750696" w14:textId="77777777" w:rsidR="0038760D" w:rsidRDefault="0038760D" w:rsidP="00F74894">
      <w:pPr>
        <w:pStyle w:val="Normlntenzabezmezer"/>
      </w:pPr>
    </w:p>
    <w:p w14:paraId="6F8A8434" w14:textId="77777777" w:rsidR="0038760D" w:rsidRPr="0038760D" w:rsidRDefault="006A489A" w:rsidP="006A489A">
      <w:pPr>
        <w:pStyle w:val="Nadpis3"/>
        <w:rPr>
          <w:rFonts w:eastAsia="Times New Roman"/>
          <w:lang w:eastAsia="cs-CZ"/>
        </w:rPr>
      </w:pPr>
      <w:bookmarkStart w:id="16" w:name="_Toc45723486"/>
      <w:r>
        <w:rPr>
          <w:rFonts w:eastAsia="Times New Roman"/>
          <w:lang w:eastAsia="cs-CZ"/>
        </w:rPr>
        <w:t>c) o</w:t>
      </w:r>
      <w:r w:rsidR="0038760D" w:rsidRPr="0038760D">
        <w:rPr>
          <w:rFonts w:eastAsia="Times New Roman"/>
          <w:lang w:eastAsia="cs-CZ"/>
        </w:rPr>
        <w:t>chrana odstraňované stavby podle jiných právních předpisů</w:t>
      </w:r>
      <w:bookmarkEnd w:id="16"/>
    </w:p>
    <w:p w14:paraId="2FFEA552" w14:textId="77777777" w:rsidR="0038760D" w:rsidRPr="00D457A7" w:rsidRDefault="0038760D" w:rsidP="00D457A7">
      <w:pPr>
        <w:pStyle w:val="Normlntenzabezmezer"/>
      </w:pPr>
      <w:r w:rsidRPr="00D457A7">
        <w:t>Odstraňované stavby nejsou památkově chráněny.</w:t>
      </w:r>
    </w:p>
    <w:p w14:paraId="5718F9F4" w14:textId="77777777" w:rsidR="0038760D" w:rsidRPr="00D457A7" w:rsidRDefault="0038760D" w:rsidP="00D457A7">
      <w:pPr>
        <w:pStyle w:val="Normlntenzabezmezer"/>
      </w:pPr>
      <w:r w:rsidRPr="00D457A7">
        <w:t xml:space="preserve">Z architektonického hlediska není zasahováno do stávajícího vzhledu areálu. </w:t>
      </w:r>
    </w:p>
    <w:p w14:paraId="7439E433" w14:textId="77777777" w:rsidR="00F74894" w:rsidRDefault="00F74894" w:rsidP="00F74894">
      <w:pPr>
        <w:pStyle w:val="Normlntenzabezmezer"/>
      </w:pPr>
    </w:p>
    <w:p w14:paraId="6BF45B35" w14:textId="77777777" w:rsidR="0038760D" w:rsidRPr="0038760D" w:rsidRDefault="00701EC3" w:rsidP="00701EC3">
      <w:pPr>
        <w:pStyle w:val="Nadpis3"/>
        <w:rPr>
          <w:rFonts w:eastAsia="Times New Roman"/>
          <w:lang w:eastAsia="cs-CZ"/>
        </w:rPr>
      </w:pPr>
      <w:bookmarkStart w:id="17" w:name="_Toc45723487"/>
      <w:r>
        <w:rPr>
          <w:rFonts w:eastAsia="Times New Roman"/>
          <w:lang w:eastAsia="cs-CZ"/>
        </w:rPr>
        <w:t>d) s</w:t>
      </w:r>
      <w:r w:rsidR="0038760D" w:rsidRPr="0038760D">
        <w:rPr>
          <w:rFonts w:eastAsia="Times New Roman"/>
          <w:lang w:eastAsia="cs-CZ"/>
        </w:rPr>
        <w:t>távající parametry odstraňované stavby – zastavěná plocha, obestavěný prostor, počet funkčních jednotek; u stavby obsahující byty – celková podlahová plocha budovy, počet a velikost zanikajících bytů, obytná a užitková plocha zanikajících bytů</w:t>
      </w:r>
      <w:bookmarkEnd w:id="17"/>
    </w:p>
    <w:p w14:paraId="185BE2A3" w14:textId="77777777" w:rsidR="0038760D" w:rsidRPr="00F8404F" w:rsidRDefault="0038760D" w:rsidP="0038760D">
      <w:pPr>
        <w:pStyle w:val="Normlntenzabezmezer"/>
      </w:pPr>
      <w:r w:rsidRPr="00B11B87">
        <w:t xml:space="preserve">Jedná se o stávající objekty umístěné v areálu </w:t>
      </w:r>
      <w:r w:rsidR="002B3A19">
        <w:t>ZEVO</w:t>
      </w:r>
      <w:r w:rsidR="007D22C3">
        <w:t xml:space="preserve"> (Brněnské spalovny odpadů)</w:t>
      </w:r>
      <w:r w:rsidRPr="00B11B87">
        <w:t xml:space="preserve"> s hlavním vstupem situovaným rovnoběžně s ulicí Jedovnická. Objekty jsou umístěny u vnitro</w:t>
      </w:r>
      <w:r>
        <w:t>-</w:t>
      </w:r>
      <w:r w:rsidRPr="00B11B87">
        <w:t>areálové komunikace.</w:t>
      </w:r>
    </w:p>
    <w:p w14:paraId="18124DBA" w14:textId="77777777" w:rsidR="00137837" w:rsidRDefault="00137837" w:rsidP="00F74894">
      <w:pPr>
        <w:pStyle w:val="Normlntenzabezmezer"/>
      </w:pPr>
    </w:p>
    <w:p w14:paraId="113C8921" w14:textId="77777777" w:rsidR="0038760D" w:rsidRDefault="0038760D" w:rsidP="0038760D">
      <w:pPr>
        <w:pStyle w:val="Normlntenzabezmezer"/>
      </w:pPr>
      <w:r w:rsidRPr="00EF5F7F">
        <w:rPr>
          <w:b/>
        </w:rPr>
        <w:t>Objekt č. 03</w:t>
      </w:r>
      <w:r w:rsidRPr="00AB3541">
        <w:t xml:space="preserve"> – Sklad, hala I: </w:t>
      </w:r>
      <w:proofErr w:type="spellStart"/>
      <w:r w:rsidRPr="00AB3541">
        <w:t>p.č</w:t>
      </w:r>
      <w:proofErr w:type="spellEnd"/>
      <w:r w:rsidRPr="00AB3541">
        <w:t>. 7884/6</w:t>
      </w:r>
      <w:r>
        <w:t>0</w:t>
      </w:r>
    </w:p>
    <w:p w14:paraId="5A655F13" w14:textId="77777777" w:rsidR="0038760D" w:rsidRDefault="0038760D" w:rsidP="0038760D">
      <w:pPr>
        <w:pStyle w:val="Normlntenzabezmezer"/>
      </w:pPr>
      <w:r>
        <w:t>Zastavěná plocha</w:t>
      </w:r>
      <w:r>
        <w:tab/>
      </w:r>
      <w:r>
        <w:tab/>
      </w:r>
      <w:r>
        <w:tab/>
      </w:r>
      <w:r>
        <w:tab/>
      </w:r>
      <w:r>
        <w:tab/>
      </w:r>
      <w:r>
        <w:tab/>
        <w:t>cca 552 m</w:t>
      </w:r>
      <w:r w:rsidRPr="005A4983">
        <w:rPr>
          <w:vertAlign w:val="superscript"/>
        </w:rPr>
        <w:t>2</w:t>
      </w:r>
    </w:p>
    <w:p w14:paraId="7DFD3C8E" w14:textId="77777777" w:rsidR="0038760D" w:rsidRPr="00AB3541" w:rsidRDefault="0038760D" w:rsidP="0038760D">
      <w:pPr>
        <w:pStyle w:val="Normlntenzabezmezer"/>
      </w:pPr>
    </w:p>
    <w:p w14:paraId="77091FEC" w14:textId="4EF7DA74" w:rsidR="0038760D" w:rsidRDefault="0038760D" w:rsidP="0038760D">
      <w:pPr>
        <w:pStyle w:val="Normlntenzabezmezer"/>
      </w:pPr>
      <w:r w:rsidRPr="00EF5F7F">
        <w:rPr>
          <w:b/>
        </w:rPr>
        <w:t>Objekt č. 18</w:t>
      </w:r>
      <w:r w:rsidRPr="00AB3541">
        <w:t xml:space="preserve"> – Sklad netemperovaný: </w:t>
      </w:r>
      <w:proofErr w:type="spellStart"/>
      <w:r w:rsidRPr="00AB3541">
        <w:t>p.č</w:t>
      </w:r>
      <w:proofErr w:type="spellEnd"/>
      <w:r w:rsidRPr="00AB3541">
        <w:t>. 7884/</w:t>
      </w:r>
      <w:r w:rsidR="001772B1">
        <w:t>1</w:t>
      </w:r>
    </w:p>
    <w:p w14:paraId="341AA92E" w14:textId="77777777" w:rsidR="0038760D" w:rsidRDefault="0038760D" w:rsidP="0038760D">
      <w:pPr>
        <w:pStyle w:val="Normlntenzabezmezer"/>
      </w:pPr>
      <w:r>
        <w:t>Zastavěná plocha</w:t>
      </w:r>
      <w:r>
        <w:tab/>
      </w:r>
      <w:r>
        <w:tab/>
      </w:r>
      <w:r>
        <w:tab/>
      </w:r>
      <w:r>
        <w:tab/>
      </w:r>
      <w:r>
        <w:tab/>
      </w:r>
      <w:r>
        <w:tab/>
        <w:t>cca 196 m</w:t>
      </w:r>
      <w:r w:rsidRPr="005A4983">
        <w:rPr>
          <w:vertAlign w:val="superscript"/>
        </w:rPr>
        <w:t>2</w:t>
      </w:r>
    </w:p>
    <w:p w14:paraId="7DD91AB4" w14:textId="77777777" w:rsidR="0038760D" w:rsidRPr="00AB3541" w:rsidRDefault="0038760D" w:rsidP="0038760D">
      <w:pPr>
        <w:pStyle w:val="Normlntenzabezmezer"/>
      </w:pPr>
    </w:p>
    <w:p w14:paraId="0CE27929" w14:textId="77777777" w:rsidR="0038760D" w:rsidRDefault="0038760D" w:rsidP="0038760D">
      <w:pPr>
        <w:pStyle w:val="Normlntenzabezmezer"/>
      </w:pPr>
      <w:r w:rsidRPr="00EF5F7F">
        <w:rPr>
          <w:b/>
        </w:rPr>
        <w:t>Zpevněná plocha</w:t>
      </w:r>
      <w:r w:rsidRPr="00AB3541">
        <w:t xml:space="preserve">: </w:t>
      </w:r>
      <w:proofErr w:type="spellStart"/>
      <w:r w:rsidRPr="00AB3541">
        <w:t>p.č</w:t>
      </w:r>
      <w:proofErr w:type="spellEnd"/>
      <w:r w:rsidRPr="00AB3541">
        <w:t>. 7884/1</w:t>
      </w:r>
    </w:p>
    <w:p w14:paraId="674EC07B" w14:textId="77777777" w:rsidR="0038760D" w:rsidRDefault="0038760D" w:rsidP="0038760D">
      <w:pPr>
        <w:pStyle w:val="Normlntenzabezmezer"/>
      </w:pPr>
      <w:r>
        <w:t>Zastavěná plocha</w:t>
      </w:r>
      <w:r>
        <w:tab/>
      </w:r>
      <w:r>
        <w:tab/>
      </w:r>
      <w:r>
        <w:tab/>
      </w:r>
      <w:r>
        <w:tab/>
      </w:r>
      <w:r>
        <w:tab/>
      </w:r>
      <w:r>
        <w:tab/>
        <w:t>cca 221 m</w:t>
      </w:r>
      <w:r w:rsidRPr="009E083B">
        <w:rPr>
          <w:vertAlign w:val="superscript"/>
        </w:rPr>
        <w:t>2</w:t>
      </w:r>
    </w:p>
    <w:p w14:paraId="533B1D6D" w14:textId="77777777" w:rsidR="0038760D" w:rsidRPr="00AB3541" w:rsidRDefault="0038760D" w:rsidP="0038760D">
      <w:pPr>
        <w:pStyle w:val="Normlntenzabezmezer"/>
      </w:pPr>
    </w:p>
    <w:p w14:paraId="1DE4CA46" w14:textId="77777777" w:rsidR="0038760D" w:rsidRDefault="0038760D" w:rsidP="0038760D">
      <w:pPr>
        <w:pStyle w:val="Normlntenzabezmezer"/>
      </w:pPr>
      <w:r w:rsidRPr="00EF5F7F">
        <w:rPr>
          <w:b/>
        </w:rPr>
        <w:t>Objekt č. 19</w:t>
      </w:r>
      <w:r w:rsidRPr="00AB3541">
        <w:t xml:space="preserve"> </w:t>
      </w:r>
      <w:r>
        <w:t xml:space="preserve">– Sklad temperovaný: </w:t>
      </w:r>
      <w:proofErr w:type="spellStart"/>
      <w:r>
        <w:t>p.č</w:t>
      </w:r>
      <w:proofErr w:type="spellEnd"/>
      <w:r>
        <w:t>. 7884/5</w:t>
      </w:r>
      <w:r w:rsidRPr="00AB3541">
        <w:t>6</w:t>
      </w:r>
    </w:p>
    <w:p w14:paraId="6D309394" w14:textId="77777777" w:rsidR="0038760D" w:rsidRDefault="0038760D" w:rsidP="0038760D">
      <w:pPr>
        <w:pStyle w:val="Normlntenzabezmezer"/>
      </w:pPr>
      <w:r>
        <w:t>Zastavěná plocha</w:t>
      </w:r>
      <w:r>
        <w:tab/>
      </w:r>
      <w:r>
        <w:tab/>
      </w:r>
      <w:r>
        <w:tab/>
      </w:r>
      <w:r>
        <w:tab/>
      </w:r>
      <w:r>
        <w:tab/>
      </w:r>
      <w:r>
        <w:tab/>
        <w:t>cca 165 m</w:t>
      </w:r>
      <w:r w:rsidRPr="0027736B">
        <w:rPr>
          <w:vertAlign w:val="superscript"/>
        </w:rPr>
        <w:t>2</w:t>
      </w:r>
    </w:p>
    <w:p w14:paraId="7B9A7EC9" w14:textId="77777777" w:rsidR="0038760D" w:rsidRPr="00AB3541" w:rsidRDefault="0038760D" w:rsidP="0038760D">
      <w:pPr>
        <w:pStyle w:val="Normlntenzabezmezer"/>
      </w:pPr>
    </w:p>
    <w:p w14:paraId="70FEE61E" w14:textId="77777777" w:rsidR="0038760D" w:rsidRDefault="0038760D" w:rsidP="0038760D">
      <w:pPr>
        <w:pStyle w:val="Normlntenzabezmezer"/>
      </w:pPr>
      <w:r w:rsidRPr="00EF5F7F">
        <w:rPr>
          <w:b/>
        </w:rPr>
        <w:t>Objekt č. 20</w:t>
      </w:r>
      <w:r w:rsidRPr="00AB3541">
        <w:t xml:space="preserve"> – Sklad, hala II: </w:t>
      </w:r>
      <w:proofErr w:type="spellStart"/>
      <w:r w:rsidRPr="00AB3541">
        <w:t>p.č</w:t>
      </w:r>
      <w:proofErr w:type="spellEnd"/>
      <w:r w:rsidRPr="00AB3541">
        <w:t>. 7884/57</w:t>
      </w:r>
    </w:p>
    <w:p w14:paraId="7DCF0BE6" w14:textId="77777777" w:rsidR="0038760D" w:rsidRDefault="0038760D" w:rsidP="0038760D">
      <w:pPr>
        <w:pStyle w:val="Normlntenzabezmezer"/>
        <w:rPr>
          <w:vertAlign w:val="superscript"/>
        </w:rPr>
      </w:pPr>
      <w:r>
        <w:t>Zastavěná plocha</w:t>
      </w:r>
      <w:r>
        <w:tab/>
      </w:r>
      <w:r>
        <w:tab/>
      </w:r>
      <w:r>
        <w:tab/>
      </w:r>
      <w:r>
        <w:tab/>
      </w:r>
      <w:r>
        <w:tab/>
      </w:r>
      <w:r>
        <w:tab/>
        <w:t>cca 153 m</w:t>
      </w:r>
      <w:r w:rsidRPr="0027736B">
        <w:rPr>
          <w:vertAlign w:val="superscript"/>
        </w:rPr>
        <w:t>2</w:t>
      </w:r>
    </w:p>
    <w:p w14:paraId="0B087244" w14:textId="77777777" w:rsidR="00137837" w:rsidRPr="00313842" w:rsidRDefault="00137837" w:rsidP="00313842">
      <w:pPr>
        <w:spacing w:line="276" w:lineRule="auto"/>
        <w:rPr>
          <w:rFonts w:eastAsia="Times New Roman" w:cstheme="majorBidi"/>
          <w:b/>
          <w:sz w:val="24"/>
          <w:szCs w:val="24"/>
          <w:lang w:eastAsia="cs-CZ"/>
        </w:rPr>
      </w:pPr>
    </w:p>
    <w:p w14:paraId="5E1449FB" w14:textId="77777777" w:rsidR="00313842" w:rsidRPr="00313842" w:rsidRDefault="00701EC3" w:rsidP="00701EC3">
      <w:pPr>
        <w:pStyle w:val="Nadpis3"/>
        <w:rPr>
          <w:rFonts w:eastAsia="Times New Roman"/>
          <w:lang w:eastAsia="cs-CZ"/>
        </w:rPr>
      </w:pPr>
      <w:bookmarkStart w:id="18" w:name="_Toc45723488"/>
      <w:r>
        <w:rPr>
          <w:rFonts w:eastAsia="Times New Roman"/>
          <w:lang w:eastAsia="cs-CZ"/>
        </w:rPr>
        <w:t>e) z</w:t>
      </w:r>
      <w:r w:rsidR="007E0203">
        <w:rPr>
          <w:rFonts w:eastAsia="Times New Roman"/>
          <w:lang w:eastAsia="cs-CZ"/>
        </w:rPr>
        <w:t>ákladní předpoklady pro odstranění stavby – časové údaje o průběhu prací, členění na etapy, orientační náklady, předpokládaný způsob odstranění stavby</w:t>
      </w:r>
      <w:bookmarkEnd w:id="18"/>
    </w:p>
    <w:p w14:paraId="4B6713A0" w14:textId="77777777" w:rsidR="00313842" w:rsidRPr="007E0203" w:rsidRDefault="00313842" w:rsidP="007E0203">
      <w:pPr>
        <w:pStyle w:val="Normlntenzabezmezer"/>
      </w:pPr>
      <w:r w:rsidRPr="0075226C">
        <w:t xml:space="preserve">Předpokládaný časový průběh odstranění staveb je odhadován na cca </w:t>
      </w:r>
      <w:proofErr w:type="gramStart"/>
      <w:r w:rsidRPr="0075226C">
        <w:t>1 - 2</w:t>
      </w:r>
      <w:proofErr w:type="gramEnd"/>
      <w:r w:rsidRPr="0075226C">
        <w:t xml:space="preserve"> měsíce. Odstranění jednotlivých konstrukcí bude provedeno strojně (bourací kladiva, </w:t>
      </w:r>
      <w:proofErr w:type="gramStart"/>
      <w:r w:rsidRPr="0075226C">
        <w:t>rypadla,</w:t>
      </w:r>
      <w:proofErr w:type="gramEnd"/>
      <w:r w:rsidRPr="0075226C">
        <w:t xml:space="preserve"> apod.) s možnou ruční demontáží některých dílčích částí. Po dobu provádění demoličních prací bude dotčený pozemek oplocen dočasným staveništním oplocením, které bude do min. výšky 2,0 m.</w:t>
      </w:r>
      <w:r w:rsidR="00EE6748">
        <w:t xml:space="preserve"> O</w:t>
      </w:r>
      <w:r w:rsidR="00A97245">
        <w:t>rientační náklad</w:t>
      </w:r>
      <w:r w:rsidR="00EE6748">
        <w:t>y</w:t>
      </w:r>
      <w:r w:rsidR="00A97245">
        <w:t xml:space="preserve"> na odstranění staveb a železobetonových základů </w:t>
      </w:r>
      <w:r w:rsidR="008C6AE7">
        <w:t>s</w:t>
      </w:r>
      <w:r w:rsidR="00A97245">
        <w:t xml:space="preserve">e </w:t>
      </w:r>
      <w:r w:rsidR="008C6AE7">
        <w:lastRenderedPageBreak/>
        <w:t xml:space="preserve">předpokládají ve výši </w:t>
      </w:r>
      <w:r w:rsidR="00A97245">
        <w:t>7 800 000 Kč.</w:t>
      </w:r>
      <w:r w:rsidR="00FD533F">
        <w:t xml:space="preserve"> </w:t>
      </w:r>
      <w:r w:rsidRPr="0075226C">
        <w:t>Veškeré bourací práce budou prováděny za podmínek stanovených v platném rozhodnutí o odstranění stavby příslušného stavebního úřadu, v souladu s příslušnou projektovou dokumentací a dle zástupce stavebníka (technický dozor stavebníka) předem schválených technologických postupů demolice. Postup bourac</w:t>
      </w:r>
      <w:r w:rsidR="0029617F">
        <w:t xml:space="preserve">ích prací musí být v souladu dle </w:t>
      </w:r>
      <w:r w:rsidRPr="0075226C">
        <w:t>obecných bezpečnostních předpisů, zejména zákona č. 309/2006</w:t>
      </w:r>
      <w:r>
        <w:t> </w:t>
      </w:r>
      <w:r w:rsidRPr="0075226C">
        <w:t>Sb. o zajištění dalších podmínek bezpečnosti a ochrany zdraví při práci, nařízení vlády č. 362/2005 Sb. o bližších požadavcích na BOZP při práci na pracovištích s nebezpečím pádu z výšky nebo do hloubky, nařízení vlády č.</w:t>
      </w:r>
      <w:r>
        <w:t> </w:t>
      </w:r>
      <w:r w:rsidRPr="0075226C">
        <w:t>591/2006 Sb. o bližších minimálních požadavcích na bezpečnost a ochranu zdraví při práci na staveništích.</w:t>
      </w:r>
    </w:p>
    <w:p w14:paraId="4C68BB1D" w14:textId="77777777" w:rsidR="00313842" w:rsidRDefault="00313842" w:rsidP="00313842">
      <w:pPr>
        <w:spacing w:line="276" w:lineRule="auto"/>
        <w:ind w:firstLine="709"/>
        <w:rPr>
          <w:rFonts w:ascii="Arial Narrow" w:hAnsi="Arial Narrow" w:cs="Arial"/>
        </w:rPr>
      </w:pPr>
    </w:p>
    <w:p w14:paraId="68DF2724" w14:textId="77777777" w:rsidR="00313842" w:rsidRPr="00313842" w:rsidRDefault="00701EC3" w:rsidP="00701EC3">
      <w:pPr>
        <w:pStyle w:val="Nadpis3"/>
        <w:rPr>
          <w:rFonts w:eastAsia="Times New Roman"/>
          <w:lang w:eastAsia="cs-CZ"/>
        </w:rPr>
      </w:pPr>
      <w:bookmarkStart w:id="19" w:name="_Toc45723489"/>
      <w:r>
        <w:rPr>
          <w:rFonts w:eastAsia="Times New Roman"/>
          <w:lang w:eastAsia="cs-CZ"/>
        </w:rPr>
        <w:t>f) s</w:t>
      </w:r>
      <w:r w:rsidR="00A87B10">
        <w:rPr>
          <w:rFonts w:eastAsia="Times New Roman"/>
          <w:lang w:eastAsia="cs-CZ"/>
        </w:rPr>
        <w:t>tručný popis stavebních nebo inženýrských objektů a jejich konstrukcí</w:t>
      </w:r>
      <w:bookmarkEnd w:id="19"/>
    </w:p>
    <w:p w14:paraId="53ED8796" w14:textId="77777777" w:rsidR="00313842" w:rsidRPr="00EF5F7F" w:rsidRDefault="00313842" w:rsidP="00C0743E">
      <w:pPr>
        <w:pStyle w:val="Normlntenzabezmezer"/>
        <w:rPr>
          <w:b/>
        </w:rPr>
      </w:pPr>
      <w:r w:rsidRPr="00EF5F7F">
        <w:rPr>
          <w:b/>
        </w:rPr>
        <w:t>Objekt č. 03</w:t>
      </w:r>
    </w:p>
    <w:p w14:paraId="5A777AD4" w14:textId="77777777" w:rsidR="00313842" w:rsidRPr="00C0743E" w:rsidRDefault="00313842" w:rsidP="00C0743E">
      <w:pPr>
        <w:pStyle w:val="Normlntenzabezmezer"/>
      </w:pPr>
      <w:r w:rsidRPr="00C0743E">
        <w:t>Netemperovaný sklad tvoří jednolodní hala o 15 polích. Sklad je obdélníkového tvaru o půdorysných rozměrech 54,10 x 10,20 m a průměrné výšky 4,45 m. V rámci bouracích prací se předpokládá kompletní odstranění celé konstrukce stavby včetně podzemní části.</w:t>
      </w:r>
    </w:p>
    <w:p w14:paraId="34B00217" w14:textId="77777777" w:rsidR="00313842" w:rsidRPr="00C0743E" w:rsidRDefault="00313842" w:rsidP="00C0743E">
      <w:pPr>
        <w:pStyle w:val="Normlntenzabezmezer"/>
      </w:pPr>
    </w:p>
    <w:p w14:paraId="5F4CF57C" w14:textId="77777777" w:rsidR="00313842" w:rsidRPr="00EF5F7F" w:rsidRDefault="00313842" w:rsidP="00C0743E">
      <w:pPr>
        <w:pStyle w:val="Normlntenzabezmezer"/>
        <w:rPr>
          <w:b/>
        </w:rPr>
      </w:pPr>
      <w:r w:rsidRPr="00EF5F7F">
        <w:rPr>
          <w:b/>
        </w:rPr>
        <w:t xml:space="preserve">Zpevněná plocha na pozemcích </w:t>
      </w:r>
      <w:proofErr w:type="spellStart"/>
      <w:r w:rsidRPr="00EF5F7F">
        <w:rPr>
          <w:b/>
        </w:rPr>
        <w:t>p.č</w:t>
      </w:r>
      <w:proofErr w:type="spellEnd"/>
      <w:r w:rsidRPr="00EF5F7F">
        <w:rPr>
          <w:b/>
        </w:rPr>
        <w:t>. 7884/1</w:t>
      </w:r>
    </w:p>
    <w:p w14:paraId="26727AAD" w14:textId="77777777" w:rsidR="00313842" w:rsidRPr="00C0743E" w:rsidRDefault="00313842" w:rsidP="00C0743E">
      <w:pPr>
        <w:pStyle w:val="Normlntenzabezmezer"/>
      </w:pPr>
      <w:r w:rsidRPr="00C0743E">
        <w:t xml:space="preserve">Zpevněná plocha je vytvořena z prefabrikovaných silničních panelů. </w:t>
      </w:r>
    </w:p>
    <w:p w14:paraId="10D91684" w14:textId="77777777" w:rsidR="00313842" w:rsidRPr="00C0743E" w:rsidRDefault="00313842" w:rsidP="00C0743E">
      <w:pPr>
        <w:pStyle w:val="Normlntenzabezmezer"/>
      </w:pPr>
      <w:r w:rsidRPr="00C0743E">
        <w:t>Součástí zpevněné plochy je i přízemní zděná dílna u objektu č. 18 s plochou střechou, o ploše podlahy 6,0 x 3,4 m. Průměrná výška dílny 2,88 m. V rámci bouracích prací se předpokládá kompletní odstranění celé zpevněné plochy a konstrukce stavby včetně podzemní části.</w:t>
      </w:r>
    </w:p>
    <w:p w14:paraId="73418D5B" w14:textId="77777777" w:rsidR="007E0203" w:rsidRPr="00C0743E" w:rsidRDefault="007E0203" w:rsidP="00C0743E">
      <w:pPr>
        <w:pStyle w:val="Normlntenzabezmezer"/>
      </w:pPr>
    </w:p>
    <w:p w14:paraId="34D8E03C" w14:textId="77777777" w:rsidR="00313842" w:rsidRPr="00EF5F7F" w:rsidRDefault="00313842" w:rsidP="00C0743E">
      <w:pPr>
        <w:pStyle w:val="Normlntenzabezmezer"/>
        <w:rPr>
          <w:b/>
        </w:rPr>
      </w:pPr>
      <w:r w:rsidRPr="00EF5F7F">
        <w:rPr>
          <w:b/>
        </w:rPr>
        <w:t>Objekt č. 18</w:t>
      </w:r>
    </w:p>
    <w:p w14:paraId="7F1F2127" w14:textId="77777777" w:rsidR="00313842" w:rsidRPr="00C0743E" w:rsidRDefault="00313842" w:rsidP="00C0743E">
      <w:pPr>
        <w:pStyle w:val="Normlntenzabezmezer"/>
      </w:pPr>
      <w:r w:rsidRPr="00C0743E">
        <w:t>Netemperovaný sklad tvoří jednolodní hala. Sklad je obdélníkového tvaru o půdorysných rozměrech 22,05 x 10,02 m a průměrné výšky 4,50 m. V rámci bouracích prací se předpokládá kompletní odstranění celé konstrukce stavby včetně podzemní části.</w:t>
      </w:r>
    </w:p>
    <w:p w14:paraId="6847E0AF" w14:textId="77777777" w:rsidR="00E26C35" w:rsidRDefault="00E26C35" w:rsidP="00C0743E">
      <w:pPr>
        <w:pStyle w:val="Normlntenzabezmezer"/>
      </w:pPr>
    </w:p>
    <w:p w14:paraId="28837BCF" w14:textId="77777777" w:rsidR="00D662C1" w:rsidRPr="00C0743E" w:rsidRDefault="00D662C1" w:rsidP="00C0743E">
      <w:pPr>
        <w:pStyle w:val="Normlntenzabezmezer"/>
      </w:pPr>
    </w:p>
    <w:p w14:paraId="57316CB2" w14:textId="77777777" w:rsidR="00E26C35" w:rsidRDefault="00313842" w:rsidP="00C0743E">
      <w:pPr>
        <w:pStyle w:val="Normlntenzabezmezer"/>
        <w:rPr>
          <w:b/>
        </w:rPr>
      </w:pPr>
      <w:r w:rsidRPr="00EF5F7F">
        <w:rPr>
          <w:b/>
        </w:rPr>
        <w:t>Objekt č. 19</w:t>
      </w:r>
    </w:p>
    <w:p w14:paraId="1E23C0DB" w14:textId="77777777" w:rsidR="00313842" w:rsidRPr="00E26C35" w:rsidRDefault="00313842" w:rsidP="00C0743E">
      <w:pPr>
        <w:pStyle w:val="Normlntenzabezmezer"/>
        <w:rPr>
          <w:b/>
        </w:rPr>
      </w:pPr>
      <w:r w:rsidRPr="00C0743E">
        <w:t>Temperovaný sklad tvoří jednolodní hala o 2 polích. Sklad je obdélníkového tvaru o půdorysných rozměrech 12,80 x 12,85 m a průměrné výšky 6,90 m. V rámci bouracích prací se předpokládá kompletní odstranění celé konstrukce stavby včetně podzemní části.</w:t>
      </w:r>
    </w:p>
    <w:p w14:paraId="5CAA6361" w14:textId="77777777" w:rsidR="00313842" w:rsidRPr="00C0743E" w:rsidRDefault="00313842" w:rsidP="00C0743E">
      <w:pPr>
        <w:pStyle w:val="Normlntenzabezmezer"/>
      </w:pPr>
    </w:p>
    <w:p w14:paraId="0FB36791" w14:textId="77777777" w:rsidR="00313842" w:rsidRPr="002471FD" w:rsidRDefault="00313842" w:rsidP="00C0743E">
      <w:pPr>
        <w:pStyle w:val="Normlntenzabezmezer"/>
        <w:rPr>
          <w:b/>
        </w:rPr>
      </w:pPr>
      <w:r w:rsidRPr="002471FD">
        <w:rPr>
          <w:b/>
        </w:rPr>
        <w:t>Objekt č. 20</w:t>
      </w:r>
    </w:p>
    <w:p w14:paraId="7098EBA8" w14:textId="77777777" w:rsidR="00313842" w:rsidRPr="00C0743E" w:rsidRDefault="00313842" w:rsidP="00C0743E">
      <w:pPr>
        <w:pStyle w:val="Normlntenzabezmezer"/>
      </w:pPr>
      <w:r w:rsidRPr="00C0743E">
        <w:t>Netemperovaný sklad tvoří hala o 3 polích. Sklad je obdélníkového tvaru o půdorysných rozměrech 9,85 x 15,55 m a průměrné výšky 5,40 m. V rámci bouracích prací se předpokládá kompletní odstranění celé konstrukce stavby včetně podzemní části.</w:t>
      </w:r>
    </w:p>
    <w:p w14:paraId="35957EE6" w14:textId="77777777" w:rsidR="00701EC3" w:rsidRPr="00C0743E" w:rsidRDefault="00701EC3" w:rsidP="00C0743E">
      <w:pPr>
        <w:pStyle w:val="Normlntenzabezmezer"/>
        <w:rPr>
          <w:szCs w:val="24"/>
        </w:rPr>
      </w:pPr>
    </w:p>
    <w:p w14:paraId="43320290" w14:textId="77777777" w:rsidR="00313842" w:rsidRPr="00313842" w:rsidRDefault="00701EC3" w:rsidP="00701EC3">
      <w:pPr>
        <w:pStyle w:val="Nadpis3"/>
        <w:rPr>
          <w:rFonts w:eastAsia="Times New Roman"/>
          <w:lang w:eastAsia="cs-CZ"/>
        </w:rPr>
      </w:pPr>
      <w:bookmarkStart w:id="20" w:name="_Toc45723490"/>
      <w:r>
        <w:rPr>
          <w:rFonts w:eastAsia="Times New Roman"/>
          <w:lang w:eastAsia="cs-CZ"/>
        </w:rPr>
        <w:t>g) s</w:t>
      </w:r>
      <w:r w:rsidR="00313842" w:rsidRPr="00313842">
        <w:rPr>
          <w:rFonts w:eastAsia="Times New Roman"/>
          <w:lang w:eastAsia="cs-CZ"/>
        </w:rPr>
        <w:t>tručný popis technických nebo technologických zařízení</w:t>
      </w:r>
      <w:bookmarkEnd w:id="20"/>
    </w:p>
    <w:p w14:paraId="70993350" w14:textId="77777777" w:rsidR="00B86EC3" w:rsidRPr="00076CFB" w:rsidRDefault="00B86EC3" w:rsidP="00076CFB">
      <w:pPr>
        <w:pStyle w:val="Normlntenzabezmezer"/>
      </w:pPr>
      <w:r w:rsidRPr="00076CFB">
        <w:t>Bude provedena demontáž, stažení kabelu případně přepojení (v případě světelných okruhů) všech elektrických zařízení v bouran</w:t>
      </w:r>
      <w:r w:rsidR="00A75F54" w:rsidRPr="00076CFB">
        <w:t>ých</w:t>
      </w:r>
      <w:r w:rsidRPr="00076CFB">
        <w:t xml:space="preserve"> </w:t>
      </w:r>
      <w:r w:rsidR="00A75F54" w:rsidRPr="00076CFB">
        <w:t>stávajících objektech na území v uzavřeného areálu společnosti SAKO Brno, a.s.</w:t>
      </w:r>
      <w:r w:rsidRPr="00076CFB">
        <w:t xml:space="preserve"> (kabelové trasy, kabely, elektroinstalační trubky, osvětlení, rozvaděče, </w:t>
      </w:r>
      <w:proofErr w:type="spellStart"/>
      <w:r w:rsidRPr="00076CFB">
        <w:t>rozbočovací</w:t>
      </w:r>
      <w:proofErr w:type="spellEnd"/>
      <w:r w:rsidRPr="00076CFB">
        <w:t xml:space="preserve"> krabice, ovládací skřínky atd.).</w:t>
      </w:r>
    </w:p>
    <w:p w14:paraId="40527E92" w14:textId="77777777" w:rsidR="00F50893" w:rsidRPr="00076CFB" w:rsidRDefault="00F50893" w:rsidP="00076CFB">
      <w:pPr>
        <w:pStyle w:val="Normlntenzabezmezer"/>
      </w:pPr>
      <w:r w:rsidRPr="00076CFB">
        <w:lastRenderedPageBreak/>
        <w:t>Stávající protipožární zařízení (hydranty, sprinklery apod.) budou demontovány</w:t>
      </w:r>
      <w:r w:rsidR="00A57C3E">
        <w:t>. S</w:t>
      </w:r>
      <w:r w:rsidRPr="00076CFB">
        <w:t>távající rozvody požární vody, technologické rozvody budou odstaveny, odřezány, zajištěny a zaslepeny – tyto práce budou zajištěny investorem a nejsou tedy podrobněji dále řešeny.</w:t>
      </w:r>
    </w:p>
    <w:p w14:paraId="37CE8048" w14:textId="77777777" w:rsidR="00F50893" w:rsidRPr="00076CFB" w:rsidRDefault="00F50893" w:rsidP="00076CFB">
      <w:pPr>
        <w:pStyle w:val="Normlntenzabezmezer"/>
      </w:pPr>
      <w:r w:rsidRPr="00076CFB">
        <w:t xml:space="preserve">Za žádných okolností nesmí dojít k přerušení napájení a ovládání v hlavních kabelových </w:t>
      </w:r>
      <w:proofErr w:type="gramStart"/>
      <w:r w:rsidRPr="00076CFB">
        <w:t>trasách</w:t>
      </w:r>
      <w:proofErr w:type="gramEnd"/>
      <w:r w:rsidRPr="00076CFB">
        <w:t xml:space="preserve"> a to ani po dočasnou dobu!</w:t>
      </w:r>
    </w:p>
    <w:p w14:paraId="081C0A73" w14:textId="77777777" w:rsidR="00313842" w:rsidRPr="00500EB5" w:rsidRDefault="00313842" w:rsidP="00C0743E">
      <w:pPr>
        <w:pStyle w:val="Normlntenzabezmezer"/>
        <w:rPr>
          <w:rFonts w:ascii="Arial Narrow" w:hAnsi="Arial Narrow"/>
        </w:rPr>
      </w:pPr>
    </w:p>
    <w:p w14:paraId="36C98B69" w14:textId="77777777" w:rsidR="00313842" w:rsidRPr="00313842" w:rsidRDefault="00701EC3" w:rsidP="00701EC3">
      <w:pPr>
        <w:pStyle w:val="Nadpis3"/>
        <w:rPr>
          <w:rFonts w:eastAsia="Times New Roman"/>
          <w:lang w:eastAsia="cs-CZ"/>
        </w:rPr>
      </w:pPr>
      <w:bookmarkStart w:id="21" w:name="_Toc45723491"/>
      <w:r>
        <w:rPr>
          <w:rFonts w:eastAsia="Times New Roman"/>
          <w:lang w:eastAsia="cs-CZ"/>
        </w:rPr>
        <w:t>h) v</w:t>
      </w:r>
      <w:r w:rsidR="00313842" w:rsidRPr="00313842">
        <w:rPr>
          <w:rFonts w:eastAsia="Times New Roman"/>
          <w:lang w:eastAsia="cs-CZ"/>
        </w:rPr>
        <w:t>ýsledky stavebního průzkumu, přítomnost azbestu ve stavbě</w:t>
      </w:r>
      <w:bookmarkEnd w:id="21"/>
    </w:p>
    <w:p w14:paraId="6CF6065F" w14:textId="77777777" w:rsidR="00313842" w:rsidRPr="00DE45E6" w:rsidRDefault="00313842" w:rsidP="00C0743E">
      <w:pPr>
        <w:pStyle w:val="Normlntenzabezmezer"/>
      </w:pPr>
      <w:r w:rsidRPr="00DE45E6">
        <w:t>Ze zběžné prohlídky staveb nevyplývá přítomnost materiálů na bázi azbestu, nicméně před zahájením stavebních prací bude proveden podrobnější průzkum výskytu azbestu např. sondami do konstrukcí. V případě dalšího zjištění přítomnosti materiálů obsahujících azbest, je realizační firma povinna postupovat dle § 41 zákona č. 258/2000 Sb., o ochraně veřejného zdraví, v platném znění v souladu s nařízením vlády č.361/2007 Sb., o podmínkách ochrany zdraví při práci.</w:t>
      </w:r>
    </w:p>
    <w:p w14:paraId="355F5270" w14:textId="77777777" w:rsidR="00313842" w:rsidRDefault="00313842" w:rsidP="00C0743E">
      <w:pPr>
        <w:pStyle w:val="Normlntenzabezmezer"/>
        <w:rPr>
          <w:rFonts w:ascii="Arial Narrow" w:hAnsi="Arial Narrow"/>
        </w:rPr>
      </w:pPr>
    </w:p>
    <w:p w14:paraId="24EA6A21" w14:textId="77777777" w:rsidR="00F22B62" w:rsidRDefault="00F22B62" w:rsidP="00C0743E">
      <w:pPr>
        <w:pStyle w:val="Normlntenzabezmezer"/>
        <w:rPr>
          <w:rFonts w:ascii="Arial Narrow" w:hAnsi="Arial Narrow"/>
        </w:rPr>
      </w:pPr>
    </w:p>
    <w:p w14:paraId="4FF64CDA" w14:textId="77777777" w:rsidR="00C0743E" w:rsidRDefault="00C0743E" w:rsidP="00C0743E">
      <w:pPr>
        <w:pStyle w:val="Normlntenzabezmezer"/>
        <w:rPr>
          <w:rFonts w:ascii="Arial Narrow" w:hAnsi="Arial Narrow"/>
        </w:rPr>
      </w:pPr>
    </w:p>
    <w:p w14:paraId="36EF315F" w14:textId="77777777" w:rsidR="00313842" w:rsidRPr="00313842" w:rsidRDefault="00313842" w:rsidP="00393670">
      <w:pPr>
        <w:pStyle w:val="Nadpis2"/>
        <w:rPr>
          <w:rFonts w:eastAsia="Times New Roman"/>
          <w:lang w:eastAsia="cs-CZ"/>
        </w:rPr>
      </w:pPr>
      <w:bookmarkStart w:id="22" w:name="_Toc448812694"/>
      <w:bookmarkStart w:id="23" w:name="_Toc504377961"/>
      <w:bookmarkStart w:id="24" w:name="_Toc45723492"/>
      <w:r w:rsidRPr="00313842">
        <w:rPr>
          <w:rFonts w:eastAsia="Times New Roman"/>
          <w:lang w:eastAsia="cs-CZ"/>
        </w:rPr>
        <w:t>B.3</w:t>
      </w:r>
      <w:r w:rsidRPr="00313842">
        <w:rPr>
          <w:rFonts w:eastAsia="Times New Roman"/>
          <w:lang w:eastAsia="cs-CZ"/>
        </w:rPr>
        <w:tab/>
        <w:t>P</w:t>
      </w:r>
      <w:r w:rsidR="00A87B10">
        <w:rPr>
          <w:rFonts w:eastAsia="Times New Roman"/>
          <w:lang w:eastAsia="cs-CZ"/>
        </w:rPr>
        <w:t>řipojení na technickou infrastrukturu</w:t>
      </w:r>
      <w:bookmarkEnd w:id="22"/>
      <w:bookmarkEnd w:id="23"/>
      <w:bookmarkEnd w:id="24"/>
    </w:p>
    <w:p w14:paraId="1145CBC0" w14:textId="77777777" w:rsidR="00313842" w:rsidRPr="00DE45E6" w:rsidRDefault="002304F5" w:rsidP="00DE45E6">
      <w:pPr>
        <w:pStyle w:val="Nadpis3"/>
      </w:pPr>
      <w:bookmarkStart w:id="25" w:name="_Toc45723493"/>
      <w:r w:rsidRPr="00DE45E6">
        <w:t xml:space="preserve">a) </w:t>
      </w:r>
      <w:r w:rsidR="000E2D0F">
        <w:t>napojovací místa technické infrastruktury</w:t>
      </w:r>
      <w:bookmarkEnd w:id="25"/>
    </w:p>
    <w:p w14:paraId="3DA64E1B" w14:textId="77777777" w:rsidR="00313842" w:rsidRPr="00740AB6" w:rsidRDefault="00313842" w:rsidP="00C0743E">
      <w:pPr>
        <w:pStyle w:val="Normlntenzabezmezer"/>
      </w:pPr>
      <w:r w:rsidRPr="00740AB6">
        <w:t>Připojení inženýrských sítí k jednotlivým objektům budou před započetím bouracích prací odpojena. Vzhledem k charakteru lokality nelze vyloučit i další nez</w:t>
      </w:r>
      <w:r>
        <w:t>a</w:t>
      </w:r>
      <w:r w:rsidRPr="00740AB6">
        <w:t>znamenaná připojení – před započetím bouracích prací nutno vytyčit všechny okolní inženýrské sítě jejich správci a určit přesná místa odpojení těchto sítí/přípojek (v el. rozvodných skříních, instalačních šachtách, rozdělovačích otopné soustavy atp., na místě překontrolovat možná další připojení sítí do objektu.</w:t>
      </w:r>
    </w:p>
    <w:p w14:paraId="300F34FB" w14:textId="77777777" w:rsidR="00313842" w:rsidRPr="00C40997" w:rsidRDefault="00313842" w:rsidP="00C0743E">
      <w:pPr>
        <w:pStyle w:val="Normlntenzabezmezer"/>
      </w:pPr>
    </w:p>
    <w:p w14:paraId="52704C7C" w14:textId="77777777" w:rsidR="00313842" w:rsidRPr="002304F5" w:rsidRDefault="002304F5" w:rsidP="000E2D0F">
      <w:pPr>
        <w:pStyle w:val="Nadpis3"/>
      </w:pPr>
      <w:bookmarkStart w:id="26" w:name="_Toc45723494"/>
      <w:r>
        <w:t xml:space="preserve">b) </w:t>
      </w:r>
      <w:r w:rsidR="00313842" w:rsidRPr="002304F5">
        <w:t>připojovací rozměry, výkonové kapacity a délky</w:t>
      </w:r>
      <w:bookmarkEnd w:id="26"/>
    </w:p>
    <w:p w14:paraId="39331FF1" w14:textId="77777777" w:rsidR="00313842" w:rsidRPr="00740AB6" w:rsidRDefault="00313842" w:rsidP="00C0743E">
      <w:pPr>
        <w:pStyle w:val="Normlntenzabezmezer"/>
      </w:pPr>
      <w:r w:rsidRPr="00740AB6">
        <w:t xml:space="preserve">Jedná se o nepotvrzené a bez demontáže nezjistitelné profily přípojek z hlavních rozvodů areálových inženýrských sítí, které budou kompletně rušeny. </w:t>
      </w:r>
    </w:p>
    <w:p w14:paraId="795D33CB" w14:textId="77777777" w:rsidR="00313842" w:rsidRPr="00740AB6" w:rsidRDefault="00313842" w:rsidP="00C0743E">
      <w:pPr>
        <w:pStyle w:val="Normlntenzabezmezer"/>
        <w:rPr>
          <w:rFonts w:ascii="Arial Narrow" w:hAnsi="Arial Narrow" w:cs="Arial"/>
          <w:b/>
        </w:rPr>
      </w:pPr>
    </w:p>
    <w:p w14:paraId="0798EB62" w14:textId="77777777" w:rsidR="00313842" w:rsidRPr="002304F5" w:rsidRDefault="002304F5" w:rsidP="000E2D0F">
      <w:pPr>
        <w:pStyle w:val="Nadpis3"/>
      </w:pPr>
      <w:bookmarkStart w:id="27" w:name="_Toc45723495"/>
      <w:r>
        <w:t>c) způsob odpojení</w:t>
      </w:r>
      <w:bookmarkEnd w:id="27"/>
    </w:p>
    <w:p w14:paraId="108AD32A" w14:textId="77777777" w:rsidR="00313842" w:rsidRPr="000E2D0F" w:rsidRDefault="00313842" w:rsidP="00C0743E">
      <w:pPr>
        <w:pStyle w:val="Normlntenzabezmezer"/>
      </w:pPr>
      <w:r w:rsidRPr="000E2D0F">
        <w:t>Přesný způsob odpojení bude domluven s jednotlivými správci infrastruktury před započetím demolic.</w:t>
      </w:r>
    </w:p>
    <w:p w14:paraId="38D3AD74" w14:textId="77777777" w:rsidR="00313842" w:rsidRPr="000E2D0F" w:rsidRDefault="00313842" w:rsidP="00C0743E">
      <w:pPr>
        <w:pStyle w:val="Normlntenzabezmezer"/>
      </w:pPr>
      <w:r w:rsidRPr="000E2D0F">
        <w:t>Elektroinstalace – předpokladem je postupné odpojování hlavními jističi v objektovém rozvaděči při demolici objektů.</w:t>
      </w:r>
    </w:p>
    <w:p w14:paraId="2BB201A6" w14:textId="77777777" w:rsidR="00313842" w:rsidRPr="000E2D0F" w:rsidRDefault="00313842" w:rsidP="00C0743E">
      <w:pPr>
        <w:pStyle w:val="Normlntenzabezmezer"/>
      </w:pPr>
      <w:r w:rsidRPr="000E2D0F">
        <w:t xml:space="preserve">Vodovod – přípojka vody do objektů v případě zjištění bude správcem vodovodu zaslepena. Následně bude potrubí v areálové části demontováno. </w:t>
      </w:r>
    </w:p>
    <w:p w14:paraId="66F61438" w14:textId="77777777" w:rsidR="00313842" w:rsidRPr="000E2D0F" w:rsidRDefault="00313842" w:rsidP="00C0743E">
      <w:pPr>
        <w:pStyle w:val="Normlntenzabezmezer"/>
      </w:pPr>
      <w:r w:rsidRPr="000E2D0F">
        <w:t>Plynovod – v případě zjištění bude odpojen v hlavní skříni HUP</w:t>
      </w:r>
      <w:r w:rsidR="00790D44">
        <w:t xml:space="preserve"> (hlavní</w:t>
      </w:r>
      <w:r w:rsidR="00AE1627">
        <w:t>ho</w:t>
      </w:r>
      <w:r w:rsidR="00790D44">
        <w:t xml:space="preserve"> uzávěr</w:t>
      </w:r>
      <w:r w:rsidR="00AE1627">
        <w:t>u</w:t>
      </w:r>
      <w:r w:rsidR="00790D44">
        <w:t xml:space="preserve"> plynu)</w:t>
      </w:r>
      <w:r w:rsidRPr="000E2D0F">
        <w:t>.</w:t>
      </w:r>
    </w:p>
    <w:p w14:paraId="09729D29" w14:textId="77777777" w:rsidR="00313842" w:rsidRPr="000E2D0F" w:rsidRDefault="00313842" w:rsidP="00C0743E">
      <w:pPr>
        <w:pStyle w:val="Normlntenzabezmezer"/>
      </w:pPr>
      <w:r w:rsidRPr="000E2D0F">
        <w:t xml:space="preserve">Kanalizace – kanalizační přípojka dohledaná při demolicích bude správcem kanalizace zaslepena. </w:t>
      </w:r>
    </w:p>
    <w:p w14:paraId="0D03E831" w14:textId="77777777" w:rsidR="00313842" w:rsidRPr="000E2D0F" w:rsidRDefault="00313842" w:rsidP="00C0743E">
      <w:pPr>
        <w:pStyle w:val="Normlntenzabezmezer"/>
      </w:pPr>
      <w:r w:rsidRPr="000E2D0F">
        <w:t>Teplovod – přípojka teplovodu do objektu bude vlastníkem odpojena.</w:t>
      </w:r>
    </w:p>
    <w:p w14:paraId="69EF5F6A" w14:textId="77777777" w:rsidR="00C0743E" w:rsidRDefault="00C0743E" w:rsidP="00C0743E">
      <w:pPr>
        <w:pStyle w:val="Normlntenzabezmezer"/>
        <w:rPr>
          <w:rFonts w:ascii="Arial Narrow" w:hAnsi="Arial Narrow" w:cs="Arial"/>
          <w:b/>
        </w:rPr>
      </w:pPr>
    </w:p>
    <w:p w14:paraId="1F2C4784" w14:textId="77777777" w:rsidR="00F22B62" w:rsidRDefault="00F22B62" w:rsidP="00C0743E">
      <w:pPr>
        <w:pStyle w:val="Normlntenzabezmezer"/>
        <w:rPr>
          <w:rFonts w:ascii="Arial Narrow" w:hAnsi="Arial Narrow" w:cs="Arial"/>
          <w:b/>
        </w:rPr>
      </w:pPr>
    </w:p>
    <w:p w14:paraId="00C05CE9" w14:textId="77777777" w:rsidR="00F22B62" w:rsidRPr="006C6939" w:rsidRDefault="00F22B62" w:rsidP="00C0743E">
      <w:pPr>
        <w:pStyle w:val="Normlntenzabezmezer"/>
        <w:rPr>
          <w:rFonts w:ascii="Arial Narrow" w:hAnsi="Arial Narrow" w:cs="Arial"/>
          <w:b/>
        </w:rPr>
      </w:pPr>
    </w:p>
    <w:p w14:paraId="6EB914D5" w14:textId="77777777" w:rsidR="00313842" w:rsidRPr="002304F5" w:rsidRDefault="00313842" w:rsidP="00393670">
      <w:pPr>
        <w:pStyle w:val="Nadpis2"/>
        <w:rPr>
          <w:rFonts w:eastAsia="Times New Roman"/>
          <w:lang w:eastAsia="cs-CZ"/>
        </w:rPr>
      </w:pPr>
      <w:bookmarkStart w:id="28" w:name="_Toc45723496"/>
      <w:r w:rsidRPr="002304F5">
        <w:rPr>
          <w:rFonts w:eastAsia="Times New Roman"/>
          <w:lang w:eastAsia="cs-CZ"/>
        </w:rPr>
        <w:lastRenderedPageBreak/>
        <w:t>B.4</w:t>
      </w:r>
      <w:bookmarkStart w:id="29" w:name="_Toc448812695"/>
      <w:bookmarkStart w:id="30" w:name="_Toc504377962"/>
      <w:r w:rsidRPr="002304F5">
        <w:rPr>
          <w:rFonts w:eastAsia="Times New Roman"/>
          <w:lang w:eastAsia="cs-CZ"/>
        </w:rPr>
        <w:t xml:space="preserve"> </w:t>
      </w:r>
      <w:r w:rsidRPr="002304F5">
        <w:rPr>
          <w:rFonts w:eastAsia="Times New Roman"/>
          <w:lang w:eastAsia="cs-CZ"/>
        </w:rPr>
        <w:tab/>
        <w:t>Ú</w:t>
      </w:r>
      <w:r w:rsidR="00A87B10">
        <w:rPr>
          <w:rFonts w:eastAsia="Times New Roman"/>
          <w:lang w:eastAsia="cs-CZ"/>
        </w:rPr>
        <w:t>pravy</w:t>
      </w:r>
      <w:r w:rsidR="003C6E24">
        <w:rPr>
          <w:rFonts w:eastAsia="Times New Roman"/>
          <w:lang w:eastAsia="cs-CZ"/>
        </w:rPr>
        <w:t xml:space="preserve"> </w:t>
      </w:r>
      <w:r w:rsidR="00A87B10">
        <w:rPr>
          <w:rFonts w:eastAsia="Times New Roman"/>
          <w:lang w:eastAsia="cs-CZ"/>
        </w:rPr>
        <w:t>terénu a řešení vegetace po odstranění stavby</w:t>
      </w:r>
      <w:bookmarkEnd w:id="29"/>
      <w:bookmarkEnd w:id="30"/>
      <w:bookmarkEnd w:id="28"/>
    </w:p>
    <w:p w14:paraId="4D612671" w14:textId="77777777" w:rsidR="00313842" w:rsidRPr="002304F5" w:rsidRDefault="002304F5" w:rsidP="00C0743E">
      <w:pPr>
        <w:pStyle w:val="Nadpis3"/>
      </w:pPr>
      <w:bookmarkStart w:id="31" w:name="_Toc45723497"/>
      <w:r w:rsidRPr="002304F5">
        <w:t xml:space="preserve">a) </w:t>
      </w:r>
      <w:r w:rsidR="00313842" w:rsidRPr="002304F5">
        <w:t>terénní úpravy po odstranění stavby</w:t>
      </w:r>
      <w:bookmarkEnd w:id="31"/>
    </w:p>
    <w:p w14:paraId="230C9432" w14:textId="77777777" w:rsidR="00313842" w:rsidRPr="00C0743E" w:rsidRDefault="00313842" w:rsidP="00C0743E">
      <w:pPr>
        <w:pStyle w:val="Normlntenzabezmezer"/>
      </w:pPr>
      <w:r w:rsidRPr="00C0743E">
        <w:t>Vzhledem k tomu, že na demolice bude navazovat budování nové stavby (výstavba kotle K1), nebudou vyčištěné plochy zhodnocovány výsadbou. Tato bude řešena až jako konečná zeleň v návrhu sadových úprav v projektové dokumentaci pro výše zmiňovanou akci. Plochy po odstraněných stavbách budou pouze hrubě srovnány.</w:t>
      </w:r>
    </w:p>
    <w:p w14:paraId="349DFF28" w14:textId="77777777" w:rsidR="00C0743E" w:rsidRPr="00C0743E" w:rsidRDefault="00C0743E" w:rsidP="00C0743E">
      <w:pPr>
        <w:pStyle w:val="Normlntenzabezmezer"/>
      </w:pPr>
    </w:p>
    <w:p w14:paraId="2C5275D4" w14:textId="77777777" w:rsidR="00313842" w:rsidRPr="00C40997" w:rsidRDefault="002304F5" w:rsidP="00C0743E">
      <w:pPr>
        <w:pStyle w:val="Nadpis3"/>
      </w:pPr>
      <w:bookmarkStart w:id="32" w:name="_Toc45723498"/>
      <w:r>
        <w:t xml:space="preserve">b) </w:t>
      </w:r>
      <w:r w:rsidR="00313842" w:rsidRPr="002304F5">
        <w:t>použité vegetační prvky, biotechnická opatření.</w:t>
      </w:r>
      <w:bookmarkEnd w:id="32"/>
    </w:p>
    <w:p w14:paraId="727F06C0" w14:textId="77777777" w:rsidR="00313842" w:rsidRPr="00DE5A6C" w:rsidRDefault="00313842" w:rsidP="00C0743E">
      <w:pPr>
        <w:pStyle w:val="Normlntenzabezmezer"/>
      </w:pPr>
      <w:r w:rsidRPr="00DE5A6C">
        <w:t>Viz odstavec výše.</w:t>
      </w:r>
    </w:p>
    <w:p w14:paraId="0E32F18F" w14:textId="77777777" w:rsidR="00313842" w:rsidRDefault="00313842" w:rsidP="00C0743E">
      <w:pPr>
        <w:pStyle w:val="Normlntenzabezmezer"/>
        <w:rPr>
          <w:rFonts w:cs="Arial"/>
        </w:rPr>
      </w:pPr>
    </w:p>
    <w:p w14:paraId="5369AD86" w14:textId="77777777" w:rsidR="00F22B62" w:rsidRDefault="00F22B62" w:rsidP="00C0743E">
      <w:pPr>
        <w:pStyle w:val="Normlntenzabezmezer"/>
        <w:rPr>
          <w:rFonts w:cs="Arial"/>
        </w:rPr>
      </w:pPr>
    </w:p>
    <w:p w14:paraId="1832DED3" w14:textId="77777777" w:rsidR="00F22B62" w:rsidRDefault="00F22B62" w:rsidP="00C0743E">
      <w:pPr>
        <w:pStyle w:val="Normlntenzabezmezer"/>
        <w:rPr>
          <w:rFonts w:cs="Arial"/>
        </w:rPr>
      </w:pPr>
    </w:p>
    <w:p w14:paraId="729B02C4" w14:textId="77777777" w:rsidR="00313842" w:rsidRPr="002304F5" w:rsidRDefault="00313842" w:rsidP="00C0743E">
      <w:pPr>
        <w:pStyle w:val="Nadpis2"/>
        <w:rPr>
          <w:rFonts w:eastAsia="Times New Roman"/>
          <w:lang w:eastAsia="cs-CZ"/>
        </w:rPr>
      </w:pPr>
      <w:bookmarkStart w:id="33" w:name="_Toc45723499"/>
      <w:r w:rsidRPr="002304F5">
        <w:rPr>
          <w:rFonts w:eastAsia="Times New Roman"/>
          <w:lang w:eastAsia="cs-CZ"/>
        </w:rPr>
        <w:t>B.5</w:t>
      </w:r>
      <w:r w:rsidRPr="002304F5">
        <w:rPr>
          <w:rFonts w:eastAsia="Times New Roman"/>
          <w:lang w:eastAsia="cs-CZ"/>
        </w:rPr>
        <w:tab/>
        <w:t xml:space="preserve"> </w:t>
      </w:r>
      <w:bookmarkStart w:id="34" w:name="_Toc448812696"/>
      <w:bookmarkStart w:id="35" w:name="_Toc504377963"/>
      <w:r w:rsidRPr="002304F5">
        <w:rPr>
          <w:rFonts w:eastAsia="Times New Roman"/>
          <w:lang w:eastAsia="cs-CZ"/>
        </w:rPr>
        <w:t>Z</w:t>
      </w:r>
      <w:r w:rsidR="00A87B10">
        <w:rPr>
          <w:rFonts w:eastAsia="Times New Roman"/>
          <w:lang w:eastAsia="cs-CZ"/>
        </w:rPr>
        <w:t>ásady organizace bouracích prací</w:t>
      </w:r>
      <w:bookmarkEnd w:id="34"/>
      <w:bookmarkEnd w:id="35"/>
      <w:bookmarkEnd w:id="33"/>
    </w:p>
    <w:p w14:paraId="3FC6094C" w14:textId="77777777" w:rsidR="00313842" w:rsidRPr="002304F5" w:rsidRDefault="002304F5" w:rsidP="00C0743E">
      <w:pPr>
        <w:pStyle w:val="Nadpis3"/>
      </w:pPr>
      <w:bookmarkStart w:id="36" w:name="_Toc45723500"/>
      <w:r>
        <w:t xml:space="preserve">a) </w:t>
      </w:r>
      <w:r w:rsidR="00313842" w:rsidRPr="002304F5">
        <w:t>potřeby a spotřeby rozhodujících médií a hmot, jejich zajištění</w:t>
      </w:r>
      <w:bookmarkEnd w:id="36"/>
    </w:p>
    <w:p w14:paraId="2B5F7842" w14:textId="77777777" w:rsidR="00313842" w:rsidRPr="00C0743E" w:rsidRDefault="00313842" w:rsidP="00C0743E">
      <w:pPr>
        <w:pStyle w:val="Normlntenzabezmezer"/>
      </w:pPr>
      <w:r w:rsidRPr="00C0743E">
        <w:t xml:space="preserve">Demolice budou zajišťovány především mobilní technikou – bagry, nakladače, nákladní vozidla pro odvoz. </w:t>
      </w:r>
    </w:p>
    <w:p w14:paraId="0895590B" w14:textId="77777777" w:rsidR="00313842" w:rsidRPr="00C0743E" w:rsidRDefault="00313842" w:rsidP="00C0743E">
      <w:pPr>
        <w:pStyle w:val="Normlntenzabezmezer"/>
      </w:pPr>
      <w:r w:rsidRPr="00C0743E">
        <w:t xml:space="preserve">Připojení bude potřeba pouze při prvotních demolicích v jednotlivých objektech. </w:t>
      </w:r>
    </w:p>
    <w:p w14:paraId="64859F09" w14:textId="77777777" w:rsidR="00313842" w:rsidRPr="00C0743E" w:rsidRDefault="00313842" w:rsidP="00C0743E">
      <w:pPr>
        <w:pStyle w:val="Normlntenzabezmezer"/>
      </w:pPr>
      <w:r w:rsidRPr="00C0743E">
        <w:t>Předpokládá se pouze požadavky na připojení nástrojů na zdroj el. energie, které bude provedeno na místní stávající rozvody NN</w:t>
      </w:r>
      <w:r w:rsidR="00790D44">
        <w:t xml:space="preserve"> (nízké</w:t>
      </w:r>
      <w:r w:rsidR="008D3418">
        <w:t>ho</w:t>
      </w:r>
      <w:r w:rsidR="00790D44">
        <w:t xml:space="preserve"> napětí)</w:t>
      </w:r>
      <w:r w:rsidRPr="00C0743E">
        <w:t>.</w:t>
      </w:r>
    </w:p>
    <w:p w14:paraId="75330444" w14:textId="77777777" w:rsidR="00313842" w:rsidRPr="00C0743E" w:rsidRDefault="00313842" w:rsidP="00C0743E">
      <w:pPr>
        <w:pStyle w:val="Normlntenzabezmezer"/>
      </w:pPr>
      <w:r w:rsidRPr="00C0743E">
        <w:t xml:space="preserve">Pro zázemí staveniště bude využito dovezených mobilních buněk napojených na el. </w:t>
      </w:r>
      <w:proofErr w:type="gramStart"/>
      <w:r w:rsidRPr="00C0743E">
        <w:t>energii  a</w:t>
      </w:r>
      <w:proofErr w:type="gramEnd"/>
      <w:r w:rsidRPr="00C0743E">
        <w:t xml:space="preserve"> mobilních toalet se zásobou vody, případně může být krátkodobá potřeba staveništního zázemí řešena vyhrazením stávajícího provozního a hygienického prostoru v některé ze stávajících budov areálu, v dosahu stavby.</w:t>
      </w:r>
    </w:p>
    <w:p w14:paraId="4137A967" w14:textId="77777777" w:rsidR="00313842" w:rsidRPr="00C40997" w:rsidRDefault="00313842" w:rsidP="00C0743E">
      <w:pPr>
        <w:pStyle w:val="Normlntenzabezmezer"/>
      </w:pPr>
    </w:p>
    <w:p w14:paraId="0F6AA246" w14:textId="77777777" w:rsidR="00313842" w:rsidRPr="002304F5" w:rsidRDefault="002304F5" w:rsidP="00C0743E">
      <w:pPr>
        <w:pStyle w:val="Nadpis3"/>
      </w:pPr>
      <w:bookmarkStart w:id="37" w:name="_Toc45723501"/>
      <w:r>
        <w:t xml:space="preserve">b) </w:t>
      </w:r>
      <w:r w:rsidR="00313842" w:rsidRPr="002304F5">
        <w:t>odvodnění staveniště</w:t>
      </w:r>
      <w:bookmarkEnd w:id="37"/>
    </w:p>
    <w:p w14:paraId="08E00058" w14:textId="77777777" w:rsidR="00313842" w:rsidRPr="00C0743E" w:rsidRDefault="00313842" w:rsidP="00C0743E">
      <w:pPr>
        <w:pStyle w:val="Normlntenzabezmezer"/>
      </w:pPr>
      <w:r w:rsidRPr="00C0743E">
        <w:t>Staveniště nevyžaduje žádná speciální řešení odvodnění, je uvažováno s běžným využití stávajících komunikačních vpustí. V nezbytně nutném případě pak přečerpáváním do stávající kanalizace.</w:t>
      </w:r>
    </w:p>
    <w:p w14:paraId="1479EA31" w14:textId="77777777" w:rsidR="00313842" w:rsidRPr="00C40997" w:rsidRDefault="00313842" w:rsidP="00C0743E">
      <w:pPr>
        <w:pStyle w:val="Normlntenzabezmezer"/>
      </w:pPr>
    </w:p>
    <w:p w14:paraId="241A1273" w14:textId="77777777" w:rsidR="00313842" w:rsidRPr="002304F5" w:rsidRDefault="002304F5" w:rsidP="00C0743E">
      <w:pPr>
        <w:pStyle w:val="Nadpis3"/>
      </w:pPr>
      <w:bookmarkStart w:id="38" w:name="_Toc45723502"/>
      <w:r>
        <w:t xml:space="preserve">c) </w:t>
      </w:r>
      <w:r w:rsidR="00313842" w:rsidRPr="002304F5">
        <w:t>napojení staveniště na stávající dopravní a technickou infrastrukturu</w:t>
      </w:r>
      <w:bookmarkEnd w:id="38"/>
    </w:p>
    <w:p w14:paraId="1742858B" w14:textId="77777777" w:rsidR="00313842" w:rsidRPr="00E517D3" w:rsidRDefault="00313842" w:rsidP="00C0743E">
      <w:pPr>
        <w:pStyle w:val="Normlntenzabezmezer"/>
      </w:pPr>
      <w:r w:rsidRPr="00E517D3">
        <w:t>Staveniště bude využívat k připojení stávající technickou i dopravní infrastrukturu. Budou využity stávající areálové komunikace a vjezdy.</w:t>
      </w:r>
    </w:p>
    <w:p w14:paraId="6E09EF13" w14:textId="77777777" w:rsidR="00313842" w:rsidRPr="00C40997" w:rsidRDefault="00313842" w:rsidP="00C0743E">
      <w:pPr>
        <w:pStyle w:val="Normlntenzabezmezer"/>
      </w:pPr>
    </w:p>
    <w:p w14:paraId="0E2593FB" w14:textId="77777777" w:rsidR="00313842" w:rsidRPr="002304F5" w:rsidRDefault="002304F5" w:rsidP="00070257">
      <w:pPr>
        <w:pStyle w:val="Nadpis3"/>
      </w:pPr>
      <w:bookmarkStart w:id="39" w:name="_Toc45723503"/>
      <w:r>
        <w:t xml:space="preserve">d) </w:t>
      </w:r>
      <w:r w:rsidR="00313842" w:rsidRPr="002304F5">
        <w:t>vliv odstraňování stavby na okolní stavby a pozemky</w:t>
      </w:r>
      <w:bookmarkEnd w:id="39"/>
    </w:p>
    <w:p w14:paraId="52AAC333" w14:textId="77777777" w:rsidR="00636A08" w:rsidRDefault="00313842" w:rsidP="00070257">
      <w:pPr>
        <w:pStyle w:val="Normlntenzabezmezer"/>
      </w:pPr>
      <w:r w:rsidRPr="00C73C9D">
        <w:t xml:space="preserve">Po dobu provádění stavby nesmí být okolní zástavba ovlivňována zejména nadměrným hlukem, vibracemi a otřesy nad stanovenou mez. Ta je stanovena ustanoveními vyhlášky č. 272/2011 Sb., o ochraně zdraví před nepříznivými účinky hluku a vibrací. </w:t>
      </w:r>
    </w:p>
    <w:p w14:paraId="7C0F4C26" w14:textId="77777777" w:rsidR="00313842" w:rsidRPr="00C73C9D" w:rsidRDefault="00313842" w:rsidP="00070257">
      <w:pPr>
        <w:pStyle w:val="Normlntenzabezmezer"/>
      </w:pPr>
      <w:r w:rsidRPr="00C73C9D">
        <w:t xml:space="preserve">Použití strojů a zařízení se sníženou hlučností. Během provádění všech prací je nutno dbát na omezení doby nasazení hlučných mechanismů, sled </w:t>
      </w:r>
      <w:proofErr w:type="gramStart"/>
      <w:r w:rsidRPr="00C73C9D">
        <w:t>nasazení</w:t>
      </w:r>
      <w:proofErr w:type="gramEnd"/>
      <w:r w:rsidRPr="00C73C9D">
        <w:t xml:space="preserve"> popř. jejich méně časté využití. Demoliční činnost bude probíhat pouze v denní době, mezi </w:t>
      </w:r>
      <w:smartTag w:uri="urn:schemas-microsoft-com:office:smarttags" w:element="metricconverter">
        <w:smartTagPr>
          <w:attr w:name="ProductID" w:val="7 a"/>
        </w:smartTagPr>
        <w:r w:rsidRPr="00C73C9D">
          <w:t>7 a</w:t>
        </w:r>
      </w:smartTag>
      <w:r w:rsidRPr="00C73C9D">
        <w:t xml:space="preserve"> 21 hodinou, maximálně však 10 hodin za den. </w:t>
      </w:r>
    </w:p>
    <w:p w14:paraId="71E938BA" w14:textId="77777777" w:rsidR="00313842" w:rsidRPr="00C73C9D" w:rsidRDefault="00313842" w:rsidP="00070257">
      <w:pPr>
        <w:pStyle w:val="Normlntenzabezmezer"/>
      </w:pPr>
      <w:r w:rsidRPr="00C73C9D">
        <w:t>Demolice produkuje do ovzduší tuhé (prachové) emise, které je zapotřebí vhodnými opatřeními účinně snižovat, například skrápěním vodou.</w:t>
      </w:r>
    </w:p>
    <w:p w14:paraId="1B321934" w14:textId="77777777" w:rsidR="00313842" w:rsidRPr="00C73C9D" w:rsidRDefault="00313842" w:rsidP="00070257">
      <w:pPr>
        <w:pStyle w:val="Normlntenzabezmezer"/>
      </w:pPr>
      <w:r w:rsidRPr="00C73C9D">
        <w:lastRenderedPageBreak/>
        <w:t xml:space="preserve">Hlavní přístupová veřejná komunikace – ul. </w:t>
      </w:r>
      <w:r>
        <w:t>Jedovnická</w:t>
      </w:r>
      <w:r w:rsidRPr="00C73C9D">
        <w:t xml:space="preserve"> bude zatížena po dobu odvážení demolovaných konstrukcí zvýšeným průjezdem nákladních vozidel, tato vozidla musí být před výjezdem na veřejnou komunikaci překontrolována, zvláště jejich čistota a zajištění nákladu (např. zakrytí nákladové plochy plachtami proti prašnosti apod.).</w:t>
      </w:r>
    </w:p>
    <w:p w14:paraId="6BFDAD70" w14:textId="77777777" w:rsidR="00313842" w:rsidRPr="00C40997" w:rsidRDefault="00313842" w:rsidP="00070257">
      <w:pPr>
        <w:pStyle w:val="Normlntenzabezmezer"/>
      </w:pPr>
    </w:p>
    <w:p w14:paraId="7DF3A1D0" w14:textId="77777777" w:rsidR="00313842" w:rsidRPr="00E71D28" w:rsidRDefault="00E71D28" w:rsidP="00070257">
      <w:pPr>
        <w:pStyle w:val="Nadpis3"/>
      </w:pPr>
      <w:bookmarkStart w:id="40" w:name="_Toc45723504"/>
      <w:r>
        <w:t xml:space="preserve">e) </w:t>
      </w:r>
      <w:r w:rsidR="00313842" w:rsidRPr="00E71D28">
        <w:t>ochrana okolí staveniště</w:t>
      </w:r>
      <w:bookmarkEnd w:id="40"/>
    </w:p>
    <w:p w14:paraId="069399C8" w14:textId="23B710D9" w:rsidR="00313842" w:rsidRPr="00E517D3" w:rsidRDefault="00313842" w:rsidP="00E71D28">
      <w:pPr>
        <w:pStyle w:val="Normlntenzabezmezer"/>
      </w:pPr>
      <w:r w:rsidRPr="00E517D3">
        <w:t>Po dobu provádění demolic bude dotčená lokalita vymezena mobilním oplocením a okolí řádně označeno příslušnými výstražnými tabulkami. Prováděním demolic nesmí být ohrožena bezpečnost provozu na přilehlých komunikacích</w:t>
      </w:r>
      <w:r w:rsidR="00DC65A3">
        <w:t xml:space="preserve"> </w:t>
      </w:r>
      <w:r w:rsidR="00DC65A3" w:rsidRPr="00552FBB">
        <w:t>vlečky SAKO Brno</w:t>
      </w:r>
      <w:r w:rsidRPr="00E517D3">
        <w:t>, stabilita okolních objektů ani bezpečnost osob, pohybujících se po areálu teplárny. Návrhy bezpečnostních opatření musí být projednány s vlastníkem areálu. Výkopy po základech budou do zasypání řádně označeny, aby nedošlo k pádu osob do výkopu. Komunikace mimo obvod staveniště budou udržovány v čistotě dle silničního zákona. Na přilehlých plochách areálu nebude ukládán žádný materiál (tzn. mimo prostory staveniště, vymezeného dočasným oplocením). Na místě stavby se nepředpokládají žádné skládkové plochy, suť z demolice bude z areálu ihned odvážena k recyklaci či skládkování.</w:t>
      </w:r>
    </w:p>
    <w:p w14:paraId="677F52D0" w14:textId="77777777" w:rsidR="00313842" w:rsidRPr="00C40997" w:rsidRDefault="00313842" w:rsidP="00313842">
      <w:pPr>
        <w:spacing w:line="276" w:lineRule="auto"/>
      </w:pPr>
    </w:p>
    <w:p w14:paraId="1A98E881" w14:textId="77777777" w:rsidR="00313842" w:rsidRPr="00E71D28" w:rsidRDefault="00E71D28" w:rsidP="00070257">
      <w:pPr>
        <w:pStyle w:val="Nadpis3"/>
      </w:pPr>
      <w:bookmarkStart w:id="41" w:name="_Toc45723505"/>
      <w:r>
        <w:t xml:space="preserve">f) </w:t>
      </w:r>
      <w:r w:rsidR="00313842" w:rsidRPr="00E71D28">
        <w:t>maximální zábory</w:t>
      </w:r>
      <w:bookmarkEnd w:id="41"/>
    </w:p>
    <w:p w14:paraId="771C68C3" w14:textId="77777777" w:rsidR="00A16971" w:rsidRDefault="00313842" w:rsidP="00A16971">
      <w:pPr>
        <w:pStyle w:val="Normlntenzabezmezer"/>
      </w:pPr>
      <w:r w:rsidRPr="00E517D3">
        <w:t>Jsou dány rozsahem pozemků jednotlivých bouraných staveb, naznačených v</w:t>
      </w:r>
      <w:r w:rsidR="00427E9C">
        <w:t> </w:t>
      </w:r>
      <w:r w:rsidRPr="00E517D3">
        <w:t>situa</w:t>
      </w:r>
      <w:r w:rsidR="00427E9C">
        <w:t>čním výkresu</w:t>
      </w:r>
      <w:r w:rsidRPr="00E517D3">
        <w:t>.</w:t>
      </w:r>
    </w:p>
    <w:p w14:paraId="17EC011F" w14:textId="77777777" w:rsidR="00A16971" w:rsidRPr="00C40997" w:rsidRDefault="00A16971" w:rsidP="00A16971">
      <w:pPr>
        <w:pStyle w:val="Normlntenzabezmezer"/>
      </w:pPr>
    </w:p>
    <w:p w14:paraId="53F3B48A" w14:textId="77777777" w:rsidR="00313842" w:rsidRPr="00E71D28" w:rsidRDefault="00E71D28" w:rsidP="00070257">
      <w:pPr>
        <w:pStyle w:val="Nadpis3"/>
      </w:pPr>
      <w:bookmarkStart w:id="42" w:name="_Toc45723506"/>
      <w:r>
        <w:t xml:space="preserve">g) </w:t>
      </w:r>
      <w:r w:rsidR="00313842" w:rsidRPr="00E71D28">
        <w:t xml:space="preserve">požadavky na bezbariérové </w:t>
      </w:r>
      <w:proofErr w:type="spellStart"/>
      <w:r w:rsidR="00313842" w:rsidRPr="00E71D28">
        <w:t>obchozí</w:t>
      </w:r>
      <w:proofErr w:type="spellEnd"/>
      <w:r w:rsidR="00313842" w:rsidRPr="00E71D28">
        <w:t xml:space="preserve"> trasy</w:t>
      </w:r>
      <w:bookmarkEnd w:id="42"/>
    </w:p>
    <w:p w14:paraId="4761E767" w14:textId="77777777" w:rsidR="00313842" w:rsidRPr="0012575B" w:rsidRDefault="00636A08" w:rsidP="0012575B">
      <w:pPr>
        <w:pStyle w:val="Normlntenzabezmezer"/>
      </w:pPr>
      <w:r>
        <w:t xml:space="preserve">Bezbariérové </w:t>
      </w:r>
      <w:proofErr w:type="spellStart"/>
      <w:r w:rsidR="00313842" w:rsidRPr="0012575B">
        <w:t>o</w:t>
      </w:r>
      <w:r>
        <w:t>bchozí</w:t>
      </w:r>
      <w:proofErr w:type="spellEnd"/>
      <w:r>
        <w:t xml:space="preserve"> trasy nebudou provedením demolic dotčeny</w:t>
      </w:r>
      <w:r w:rsidR="00313842" w:rsidRPr="0012575B">
        <w:t>.</w:t>
      </w:r>
    </w:p>
    <w:p w14:paraId="11F72905" w14:textId="77777777" w:rsidR="007E0203" w:rsidRPr="0012575B" w:rsidRDefault="007E0203" w:rsidP="0012575B">
      <w:pPr>
        <w:pStyle w:val="Normlntenzabezmezer"/>
      </w:pPr>
    </w:p>
    <w:p w14:paraId="51ED6D0C" w14:textId="77777777" w:rsidR="00313842" w:rsidRPr="00E826BA" w:rsidRDefault="00701AE3" w:rsidP="00E826BA">
      <w:pPr>
        <w:pStyle w:val="Nadpis3"/>
      </w:pPr>
      <w:bookmarkStart w:id="43" w:name="_Toc45723507"/>
      <w:r w:rsidRPr="00E826BA">
        <w:t xml:space="preserve">h) </w:t>
      </w:r>
      <w:r w:rsidR="00313842" w:rsidRPr="00E826BA">
        <w:t>maximální produkovaná množství a druhy odpadů a emisí při odstraňování stavby, nakládání s odpady, zejména s nebezpečným odpadem, způsob přepravy a jejich uložení nebo dalšího využití anebo likvidace</w:t>
      </w:r>
      <w:bookmarkEnd w:id="43"/>
    </w:p>
    <w:p w14:paraId="1C7D4319" w14:textId="77777777" w:rsidR="00313842" w:rsidRPr="00E517D3" w:rsidRDefault="00313842" w:rsidP="00E826BA">
      <w:pPr>
        <w:pStyle w:val="Normlntenzabezmezer"/>
      </w:pPr>
      <w:r w:rsidRPr="00E517D3">
        <w:t>Veškerý materiál z demolice bude odstraněn v zařízení k tomu určenému (skládka příslušné skupiny, recyklační centrum), preferována bude úprava (separace a recyklace) za účelem možnosti dalšího využití odpadů.  Nakládání s odpady musí být zajištěno osobami k těmto činnostem oprávněným ve smyslu zákona o odpadech.</w:t>
      </w:r>
    </w:p>
    <w:p w14:paraId="0C83D27A" w14:textId="77777777" w:rsidR="004539C1" w:rsidRDefault="004539C1" w:rsidP="00E826BA">
      <w:pPr>
        <w:pStyle w:val="Normlntenzabezmezer"/>
        <w:rPr>
          <w:rFonts w:ascii="Arial Narrow" w:hAnsi="Arial Narrow" w:cs="Arial"/>
        </w:rPr>
      </w:pPr>
    </w:p>
    <w:p w14:paraId="382E553B" w14:textId="77777777" w:rsidR="00313842" w:rsidRPr="00701AE3" w:rsidRDefault="00313842" w:rsidP="00E826BA">
      <w:pPr>
        <w:pStyle w:val="Normlntenzabezmezer"/>
        <w:rPr>
          <w:b/>
        </w:rPr>
      </w:pPr>
      <w:r w:rsidRPr="00701AE3">
        <w:rPr>
          <w:b/>
        </w:rPr>
        <w:t>Způsob nakládání s odpady</w:t>
      </w:r>
    </w:p>
    <w:p w14:paraId="64889A23" w14:textId="77777777" w:rsidR="00313842" w:rsidRDefault="00313842" w:rsidP="00E826BA">
      <w:pPr>
        <w:pStyle w:val="Normlntenzabezmezer"/>
      </w:pPr>
      <w:r w:rsidRPr="003B7101">
        <w:t>1 - využití (</w:t>
      </w:r>
      <w:r>
        <w:t>palivo, regenerace, recyklace)</w:t>
      </w:r>
    </w:p>
    <w:p w14:paraId="678E2B85" w14:textId="77777777" w:rsidR="00313842" w:rsidRDefault="00313842" w:rsidP="00E826BA">
      <w:pPr>
        <w:pStyle w:val="Normlntenzabezmezer"/>
      </w:pPr>
      <w:r w:rsidRPr="003B7101">
        <w:t>2 - odstranění (uložen</w:t>
      </w:r>
      <w:r>
        <w:t>í na skládku, apod.)</w:t>
      </w:r>
    </w:p>
    <w:p w14:paraId="5428825A" w14:textId="77777777" w:rsidR="00313842" w:rsidRDefault="00313842" w:rsidP="00E826BA">
      <w:pPr>
        <w:pStyle w:val="Normlntenzabezmezer"/>
      </w:pPr>
      <w:r w:rsidRPr="003B7101">
        <w:t>3 - biologic</w:t>
      </w:r>
      <w:r>
        <w:t>ká úprava</w:t>
      </w:r>
    </w:p>
    <w:p w14:paraId="311DAC42" w14:textId="77777777" w:rsidR="00313842" w:rsidRDefault="00313842" w:rsidP="00E826BA">
      <w:pPr>
        <w:pStyle w:val="Normlntenzabezmezer"/>
      </w:pPr>
    </w:p>
    <w:p w14:paraId="5A663997" w14:textId="77777777" w:rsidR="00313842" w:rsidRDefault="00313842" w:rsidP="00E826BA">
      <w:pPr>
        <w:pStyle w:val="Normlntenzabezmezer"/>
      </w:pPr>
      <w:r w:rsidRPr="003B7101">
        <w:t xml:space="preserve">N - nebezpečný odpad   </w:t>
      </w:r>
    </w:p>
    <w:p w14:paraId="1EBC38FD" w14:textId="77777777" w:rsidR="00313842" w:rsidRDefault="00313842" w:rsidP="00E826BA">
      <w:pPr>
        <w:pStyle w:val="Normlntenzabezmezer"/>
      </w:pPr>
      <w:r>
        <w:t>O - ostatní odpad</w:t>
      </w:r>
    </w:p>
    <w:p w14:paraId="35E3014D" w14:textId="77777777" w:rsidR="00E826BA" w:rsidRDefault="00E826BA" w:rsidP="00E826BA">
      <w:pPr>
        <w:pStyle w:val="Normlntenzabezmezer"/>
      </w:pPr>
    </w:p>
    <w:p w14:paraId="60B5B412" w14:textId="77777777" w:rsidR="00F2588D" w:rsidRDefault="00F2588D" w:rsidP="00E826BA">
      <w:pPr>
        <w:pStyle w:val="Normlntenzabezmezer"/>
      </w:pPr>
    </w:p>
    <w:p w14:paraId="35CA1338" w14:textId="77777777" w:rsidR="00E826BA" w:rsidRDefault="00E826BA" w:rsidP="00E826BA">
      <w:pPr>
        <w:pStyle w:val="Normlntenzabezmezer"/>
      </w:pPr>
    </w:p>
    <w:p w14:paraId="24502EC7" w14:textId="77777777" w:rsidR="00701AE3" w:rsidRDefault="00701AE3" w:rsidP="00701AE3">
      <w:pPr>
        <w:spacing w:line="276" w:lineRule="auto"/>
        <w:rPr>
          <w:b/>
          <w:lang w:eastAsia="cs-CZ"/>
        </w:rPr>
      </w:pPr>
      <w:r w:rsidRPr="00701AE3">
        <w:rPr>
          <w:b/>
          <w:lang w:eastAsia="cs-CZ"/>
        </w:rPr>
        <w:t>Přehled vznikajících odpadů z výstavby a předpokládaný způsob nakládání s nimi:</w:t>
      </w:r>
    </w:p>
    <w:p w14:paraId="331F3D32" w14:textId="77777777" w:rsidR="00E4055D" w:rsidRPr="00701AE3" w:rsidRDefault="00E4055D" w:rsidP="00701AE3">
      <w:pPr>
        <w:spacing w:line="276" w:lineRule="auto"/>
        <w:rPr>
          <w:b/>
          <w:lang w:eastAsia="cs-C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0"/>
        <w:gridCol w:w="3796"/>
        <w:gridCol w:w="1155"/>
        <w:gridCol w:w="1251"/>
        <w:gridCol w:w="1718"/>
      </w:tblGrid>
      <w:tr w:rsidR="00701AE3" w:rsidRPr="00500348" w14:paraId="0D2888E4" w14:textId="77777777" w:rsidTr="007E0203">
        <w:trPr>
          <w:cantSplit/>
          <w:tblHeader/>
        </w:trPr>
        <w:tc>
          <w:tcPr>
            <w:tcW w:w="1220" w:type="dxa"/>
            <w:shd w:val="clear" w:color="auto" w:fill="BFBFBF"/>
            <w:vAlign w:val="center"/>
          </w:tcPr>
          <w:p w14:paraId="507B63C8" w14:textId="77777777" w:rsidR="00701AE3" w:rsidRPr="00500348" w:rsidRDefault="00500348" w:rsidP="00701AE3">
            <w:pPr>
              <w:pStyle w:val="Normlntenzabezmezer"/>
              <w:rPr>
                <w:b/>
              </w:rPr>
            </w:pPr>
            <w:r>
              <w:rPr>
                <w:b/>
              </w:rPr>
              <w:lastRenderedPageBreak/>
              <w:t>K</w:t>
            </w:r>
            <w:r w:rsidR="00701AE3" w:rsidRPr="00500348">
              <w:rPr>
                <w:b/>
              </w:rPr>
              <w:t>ód odpadu</w:t>
            </w:r>
          </w:p>
        </w:tc>
        <w:tc>
          <w:tcPr>
            <w:tcW w:w="3796" w:type="dxa"/>
            <w:shd w:val="clear" w:color="auto" w:fill="BFBFBF"/>
            <w:vAlign w:val="center"/>
          </w:tcPr>
          <w:p w14:paraId="28AFC779" w14:textId="77777777" w:rsidR="00701AE3" w:rsidRPr="00500348" w:rsidRDefault="00500348" w:rsidP="00701AE3">
            <w:pPr>
              <w:pStyle w:val="Normlntenzabezmezer"/>
              <w:rPr>
                <w:b/>
              </w:rPr>
            </w:pPr>
            <w:r>
              <w:rPr>
                <w:b/>
              </w:rPr>
              <w:t>D</w:t>
            </w:r>
            <w:r w:rsidR="00701AE3" w:rsidRPr="00500348">
              <w:rPr>
                <w:b/>
              </w:rPr>
              <w:t>ruh odpadu</w:t>
            </w:r>
          </w:p>
        </w:tc>
        <w:tc>
          <w:tcPr>
            <w:tcW w:w="1155" w:type="dxa"/>
            <w:shd w:val="clear" w:color="auto" w:fill="BFBFBF"/>
            <w:vAlign w:val="center"/>
          </w:tcPr>
          <w:p w14:paraId="7A84424C" w14:textId="77777777" w:rsidR="00701AE3" w:rsidRPr="00500348" w:rsidRDefault="00500348" w:rsidP="00701AE3">
            <w:pPr>
              <w:pStyle w:val="Normlntenzabezmezer"/>
              <w:rPr>
                <w:b/>
              </w:rPr>
            </w:pPr>
            <w:r>
              <w:rPr>
                <w:b/>
              </w:rPr>
              <w:t>K</w:t>
            </w:r>
            <w:r w:rsidR="00701AE3" w:rsidRPr="00500348">
              <w:rPr>
                <w:b/>
              </w:rPr>
              <w:t>ategorie</w:t>
            </w:r>
          </w:p>
        </w:tc>
        <w:tc>
          <w:tcPr>
            <w:tcW w:w="1251" w:type="dxa"/>
            <w:shd w:val="clear" w:color="auto" w:fill="BFBFBF"/>
            <w:vAlign w:val="center"/>
          </w:tcPr>
          <w:p w14:paraId="3EF0598B" w14:textId="77777777" w:rsidR="00701AE3" w:rsidRPr="00500348" w:rsidRDefault="00500348" w:rsidP="00701AE3">
            <w:pPr>
              <w:pStyle w:val="Normlntenzabezmezer"/>
              <w:rPr>
                <w:b/>
              </w:rPr>
            </w:pPr>
            <w:r>
              <w:rPr>
                <w:b/>
              </w:rPr>
              <w:t>Z</w:t>
            </w:r>
            <w:r w:rsidR="00701AE3" w:rsidRPr="00500348">
              <w:rPr>
                <w:b/>
              </w:rPr>
              <w:t>působ nakládání</w:t>
            </w:r>
          </w:p>
          <w:p w14:paraId="25A7EDC2" w14:textId="77777777" w:rsidR="00701AE3" w:rsidRPr="00500348" w:rsidRDefault="00701AE3" w:rsidP="00701AE3">
            <w:pPr>
              <w:pStyle w:val="Normlntenzabezmezer"/>
              <w:rPr>
                <w:b/>
              </w:rPr>
            </w:pPr>
            <w:r w:rsidRPr="00500348">
              <w:rPr>
                <w:b/>
              </w:rPr>
              <w:t>s nimi</w:t>
            </w:r>
          </w:p>
        </w:tc>
        <w:tc>
          <w:tcPr>
            <w:tcW w:w="1718" w:type="dxa"/>
            <w:shd w:val="clear" w:color="auto" w:fill="BFBFBF"/>
            <w:vAlign w:val="center"/>
          </w:tcPr>
          <w:p w14:paraId="3658F129" w14:textId="77777777" w:rsidR="00701AE3" w:rsidRPr="00500348" w:rsidRDefault="00500348" w:rsidP="00701AE3">
            <w:pPr>
              <w:pStyle w:val="Normlntenzabezmezer"/>
              <w:rPr>
                <w:b/>
              </w:rPr>
            </w:pPr>
            <w:r>
              <w:rPr>
                <w:b/>
              </w:rPr>
              <w:t>P</w:t>
            </w:r>
            <w:r w:rsidR="00701AE3" w:rsidRPr="00500348">
              <w:rPr>
                <w:b/>
              </w:rPr>
              <w:t xml:space="preserve">ředpokládané množství </w:t>
            </w:r>
          </w:p>
        </w:tc>
      </w:tr>
      <w:tr w:rsidR="00701AE3" w:rsidRPr="003B7101" w14:paraId="09E8E7BD" w14:textId="77777777" w:rsidTr="007E0203">
        <w:trPr>
          <w:cantSplit/>
          <w:trHeight w:val="397"/>
        </w:trPr>
        <w:tc>
          <w:tcPr>
            <w:tcW w:w="1220" w:type="dxa"/>
            <w:vAlign w:val="center"/>
          </w:tcPr>
          <w:p w14:paraId="671841E2" w14:textId="77777777" w:rsidR="00701AE3" w:rsidRPr="003B7101" w:rsidRDefault="00701AE3" w:rsidP="00701AE3">
            <w:pPr>
              <w:pStyle w:val="Normlntenzabezmezer"/>
            </w:pPr>
            <w:r w:rsidRPr="003B7101">
              <w:t>17 01 01</w:t>
            </w:r>
          </w:p>
        </w:tc>
        <w:tc>
          <w:tcPr>
            <w:tcW w:w="3796" w:type="dxa"/>
            <w:vAlign w:val="center"/>
          </w:tcPr>
          <w:p w14:paraId="28A457A4" w14:textId="77777777" w:rsidR="00701AE3" w:rsidRPr="003B7101" w:rsidRDefault="00701AE3" w:rsidP="00701AE3">
            <w:pPr>
              <w:pStyle w:val="Normlntenzabezmezer"/>
            </w:pPr>
            <w:r w:rsidRPr="003B7101">
              <w:t>Beton</w:t>
            </w:r>
          </w:p>
        </w:tc>
        <w:tc>
          <w:tcPr>
            <w:tcW w:w="1155" w:type="dxa"/>
            <w:vAlign w:val="center"/>
          </w:tcPr>
          <w:p w14:paraId="43C2EE91" w14:textId="77777777" w:rsidR="00701AE3" w:rsidRPr="003B7101" w:rsidRDefault="00701AE3" w:rsidP="00701AE3">
            <w:pPr>
              <w:pStyle w:val="Normlntenzabezmezer"/>
            </w:pPr>
            <w:r w:rsidRPr="003B7101">
              <w:t>O</w:t>
            </w:r>
          </w:p>
        </w:tc>
        <w:tc>
          <w:tcPr>
            <w:tcW w:w="1251" w:type="dxa"/>
            <w:vAlign w:val="center"/>
          </w:tcPr>
          <w:p w14:paraId="28470F2A" w14:textId="77777777" w:rsidR="00701AE3" w:rsidRPr="003B7101" w:rsidRDefault="00701AE3" w:rsidP="00701AE3">
            <w:pPr>
              <w:pStyle w:val="Normlntenzabezmezer"/>
            </w:pPr>
            <w:r w:rsidRPr="003B7101">
              <w:t>1</w:t>
            </w:r>
          </w:p>
        </w:tc>
        <w:tc>
          <w:tcPr>
            <w:tcW w:w="1718" w:type="dxa"/>
            <w:vAlign w:val="center"/>
          </w:tcPr>
          <w:p w14:paraId="491D739B" w14:textId="77777777" w:rsidR="00701AE3" w:rsidRPr="005D01E1" w:rsidRDefault="00701AE3" w:rsidP="00701AE3">
            <w:pPr>
              <w:pStyle w:val="Normlntenzabezmezer"/>
            </w:pPr>
            <w:r>
              <w:t>40</w:t>
            </w:r>
            <w:r w:rsidRPr="005D01E1">
              <w:t>0 t</w:t>
            </w:r>
          </w:p>
        </w:tc>
      </w:tr>
      <w:tr w:rsidR="00701AE3" w:rsidRPr="003B7101" w14:paraId="3DFB68E8" w14:textId="77777777" w:rsidTr="007E0203">
        <w:trPr>
          <w:cantSplit/>
          <w:trHeight w:val="397"/>
        </w:trPr>
        <w:tc>
          <w:tcPr>
            <w:tcW w:w="1220" w:type="dxa"/>
            <w:vAlign w:val="center"/>
          </w:tcPr>
          <w:p w14:paraId="470EFCC0" w14:textId="77777777" w:rsidR="00701AE3" w:rsidRPr="003B7101" w:rsidRDefault="00701AE3" w:rsidP="00701AE3">
            <w:pPr>
              <w:pStyle w:val="Normlntenzabezmezer"/>
              <w:rPr>
                <w:rFonts w:cs="Arial"/>
                <w:lang w:eastAsia="ar-SA"/>
              </w:rPr>
            </w:pPr>
            <w:r w:rsidRPr="003B7101">
              <w:rPr>
                <w:rFonts w:cs="Arial"/>
                <w:lang w:eastAsia="ar-SA"/>
              </w:rPr>
              <w:t>17 01 02</w:t>
            </w:r>
          </w:p>
        </w:tc>
        <w:tc>
          <w:tcPr>
            <w:tcW w:w="3796" w:type="dxa"/>
            <w:vAlign w:val="center"/>
          </w:tcPr>
          <w:p w14:paraId="25032958" w14:textId="77777777" w:rsidR="00701AE3" w:rsidRPr="003B7101" w:rsidRDefault="00701AE3" w:rsidP="00701AE3">
            <w:pPr>
              <w:pStyle w:val="Normlntenzabezmezer"/>
              <w:rPr>
                <w:rFonts w:cs="Arial"/>
                <w:lang w:eastAsia="ar-SA"/>
              </w:rPr>
            </w:pPr>
            <w:r w:rsidRPr="003B7101">
              <w:rPr>
                <w:rFonts w:cs="Arial"/>
                <w:lang w:eastAsia="ar-SA"/>
              </w:rPr>
              <w:t>Cihly</w:t>
            </w:r>
          </w:p>
        </w:tc>
        <w:tc>
          <w:tcPr>
            <w:tcW w:w="1155" w:type="dxa"/>
            <w:vAlign w:val="center"/>
          </w:tcPr>
          <w:p w14:paraId="0555D569" w14:textId="77777777" w:rsidR="00701AE3" w:rsidRPr="003B7101" w:rsidRDefault="00701AE3" w:rsidP="00701AE3">
            <w:pPr>
              <w:pStyle w:val="Normlntenzabezmezer"/>
              <w:rPr>
                <w:rFonts w:cs="Arial"/>
                <w:lang w:eastAsia="ar-SA"/>
              </w:rPr>
            </w:pPr>
            <w:r w:rsidRPr="003B7101">
              <w:rPr>
                <w:rFonts w:cs="Arial"/>
                <w:lang w:eastAsia="ar-SA"/>
              </w:rPr>
              <w:t>O</w:t>
            </w:r>
          </w:p>
        </w:tc>
        <w:tc>
          <w:tcPr>
            <w:tcW w:w="1251" w:type="dxa"/>
            <w:vAlign w:val="center"/>
          </w:tcPr>
          <w:p w14:paraId="48E8D8B6" w14:textId="53493DB2" w:rsidR="00701AE3" w:rsidRPr="003B7101" w:rsidRDefault="00B769C2" w:rsidP="00701AE3">
            <w:pPr>
              <w:pStyle w:val="Normlntenzabezmezer"/>
            </w:pPr>
            <w:r>
              <w:t>1</w:t>
            </w:r>
          </w:p>
        </w:tc>
        <w:tc>
          <w:tcPr>
            <w:tcW w:w="1718" w:type="dxa"/>
            <w:vAlign w:val="center"/>
          </w:tcPr>
          <w:p w14:paraId="27CEA778" w14:textId="77777777" w:rsidR="00701AE3" w:rsidRPr="005D01E1" w:rsidRDefault="00701AE3" w:rsidP="00701AE3">
            <w:pPr>
              <w:pStyle w:val="Normlntenzabezmezer"/>
            </w:pPr>
            <w:r>
              <w:t>260</w:t>
            </w:r>
            <w:r w:rsidRPr="005D01E1">
              <w:t> t</w:t>
            </w:r>
          </w:p>
        </w:tc>
      </w:tr>
      <w:tr w:rsidR="00701AE3" w:rsidRPr="003B7101" w14:paraId="4B4062DD" w14:textId="77777777" w:rsidTr="007E0203">
        <w:trPr>
          <w:cantSplit/>
          <w:trHeight w:val="397"/>
        </w:trPr>
        <w:tc>
          <w:tcPr>
            <w:tcW w:w="1220" w:type="dxa"/>
            <w:vAlign w:val="center"/>
          </w:tcPr>
          <w:p w14:paraId="70F45C9A" w14:textId="77777777" w:rsidR="00701AE3" w:rsidRPr="003B7101" w:rsidRDefault="00701AE3" w:rsidP="00701AE3">
            <w:pPr>
              <w:pStyle w:val="Normlntenzabezmezer"/>
            </w:pPr>
            <w:r w:rsidRPr="003B7101">
              <w:t>17 02 01</w:t>
            </w:r>
          </w:p>
        </w:tc>
        <w:tc>
          <w:tcPr>
            <w:tcW w:w="3796" w:type="dxa"/>
            <w:vAlign w:val="center"/>
          </w:tcPr>
          <w:p w14:paraId="6991755B" w14:textId="77777777" w:rsidR="00701AE3" w:rsidRPr="003B7101" w:rsidRDefault="00701AE3" w:rsidP="00701AE3">
            <w:pPr>
              <w:pStyle w:val="Normlntenzabezmezer"/>
            </w:pPr>
            <w:r w:rsidRPr="003B7101">
              <w:t>Dřevo</w:t>
            </w:r>
          </w:p>
        </w:tc>
        <w:tc>
          <w:tcPr>
            <w:tcW w:w="1155" w:type="dxa"/>
            <w:vAlign w:val="center"/>
          </w:tcPr>
          <w:p w14:paraId="0C50162E" w14:textId="77777777" w:rsidR="00701AE3" w:rsidRPr="003B7101" w:rsidRDefault="00701AE3" w:rsidP="00701AE3">
            <w:pPr>
              <w:pStyle w:val="Normlntenzabezmezer"/>
            </w:pPr>
            <w:r w:rsidRPr="003B7101">
              <w:t>O</w:t>
            </w:r>
          </w:p>
        </w:tc>
        <w:tc>
          <w:tcPr>
            <w:tcW w:w="1251" w:type="dxa"/>
            <w:vAlign w:val="center"/>
          </w:tcPr>
          <w:p w14:paraId="776F8852" w14:textId="50EC6DE5" w:rsidR="00701AE3" w:rsidRPr="003B7101" w:rsidRDefault="00B769C2" w:rsidP="00701AE3">
            <w:pPr>
              <w:pStyle w:val="Normlntenzabezmezer"/>
            </w:pPr>
            <w:r>
              <w:t>1</w:t>
            </w:r>
          </w:p>
        </w:tc>
        <w:tc>
          <w:tcPr>
            <w:tcW w:w="1718" w:type="dxa"/>
            <w:vAlign w:val="center"/>
          </w:tcPr>
          <w:p w14:paraId="0CCDB90A" w14:textId="77777777" w:rsidR="00701AE3" w:rsidRPr="005D01E1" w:rsidRDefault="00701AE3" w:rsidP="00701AE3">
            <w:pPr>
              <w:pStyle w:val="Normlntenzabezmezer"/>
            </w:pPr>
            <w:r w:rsidRPr="005D01E1">
              <w:t>1 t</w:t>
            </w:r>
          </w:p>
        </w:tc>
      </w:tr>
      <w:tr w:rsidR="00701AE3" w:rsidRPr="003B7101" w14:paraId="3F98F1FD" w14:textId="77777777" w:rsidTr="007E0203">
        <w:trPr>
          <w:cantSplit/>
          <w:trHeight w:val="397"/>
        </w:trPr>
        <w:tc>
          <w:tcPr>
            <w:tcW w:w="1220" w:type="dxa"/>
            <w:vAlign w:val="center"/>
          </w:tcPr>
          <w:p w14:paraId="001D94E7" w14:textId="77777777" w:rsidR="00701AE3" w:rsidRPr="003B7101" w:rsidRDefault="00701AE3" w:rsidP="00701AE3">
            <w:pPr>
              <w:pStyle w:val="Normlntenzabezmezer"/>
              <w:rPr>
                <w:rFonts w:cs="Arial"/>
                <w:lang w:eastAsia="ar-SA"/>
              </w:rPr>
            </w:pPr>
            <w:r w:rsidRPr="003B7101">
              <w:rPr>
                <w:rFonts w:cs="Arial"/>
                <w:lang w:eastAsia="ar-SA"/>
              </w:rPr>
              <w:t>17 02 02</w:t>
            </w:r>
          </w:p>
        </w:tc>
        <w:tc>
          <w:tcPr>
            <w:tcW w:w="3796" w:type="dxa"/>
            <w:vAlign w:val="center"/>
          </w:tcPr>
          <w:p w14:paraId="09E60284" w14:textId="77777777" w:rsidR="00701AE3" w:rsidRPr="003B7101" w:rsidRDefault="00701AE3" w:rsidP="00701AE3">
            <w:pPr>
              <w:pStyle w:val="Normlntenzabezmezer"/>
              <w:rPr>
                <w:rFonts w:cs="Arial"/>
                <w:lang w:eastAsia="ar-SA"/>
              </w:rPr>
            </w:pPr>
            <w:r w:rsidRPr="003B7101">
              <w:rPr>
                <w:rFonts w:cs="Arial"/>
                <w:lang w:eastAsia="ar-SA"/>
              </w:rPr>
              <w:t>Sklo</w:t>
            </w:r>
          </w:p>
        </w:tc>
        <w:tc>
          <w:tcPr>
            <w:tcW w:w="1155" w:type="dxa"/>
            <w:vAlign w:val="center"/>
          </w:tcPr>
          <w:p w14:paraId="57FB35F4" w14:textId="77777777" w:rsidR="00701AE3" w:rsidRPr="003B7101" w:rsidRDefault="00701AE3" w:rsidP="00701AE3">
            <w:pPr>
              <w:pStyle w:val="Normlntenzabezmezer"/>
              <w:rPr>
                <w:rFonts w:cs="Arial"/>
                <w:lang w:eastAsia="ar-SA"/>
              </w:rPr>
            </w:pPr>
            <w:r w:rsidRPr="003B7101">
              <w:rPr>
                <w:rFonts w:cs="Arial"/>
                <w:lang w:eastAsia="ar-SA"/>
              </w:rPr>
              <w:t>O</w:t>
            </w:r>
          </w:p>
        </w:tc>
        <w:tc>
          <w:tcPr>
            <w:tcW w:w="1251" w:type="dxa"/>
            <w:vAlign w:val="center"/>
          </w:tcPr>
          <w:p w14:paraId="5B51BC1A" w14:textId="77777777" w:rsidR="00701AE3" w:rsidRPr="003B7101" w:rsidRDefault="00701AE3" w:rsidP="00701AE3">
            <w:pPr>
              <w:pStyle w:val="Normlntenzabezmezer"/>
            </w:pPr>
            <w:r w:rsidRPr="003B7101">
              <w:t>1</w:t>
            </w:r>
          </w:p>
        </w:tc>
        <w:tc>
          <w:tcPr>
            <w:tcW w:w="1718" w:type="dxa"/>
            <w:vAlign w:val="center"/>
          </w:tcPr>
          <w:p w14:paraId="69AA26A2" w14:textId="77777777" w:rsidR="00701AE3" w:rsidRPr="00FB378C" w:rsidRDefault="00701AE3" w:rsidP="00701AE3">
            <w:pPr>
              <w:pStyle w:val="Normlntenzabezmezer"/>
            </w:pPr>
            <w:r w:rsidRPr="00FB378C">
              <w:t>0,6 t</w:t>
            </w:r>
          </w:p>
        </w:tc>
      </w:tr>
      <w:tr w:rsidR="00701AE3" w:rsidRPr="003B7101" w14:paraId="59382E7A" w14:textId="77777777" w:rsidTr="007E0203">
        <w:trPr>
          <w:cantSplit/>
          <w:trHeight w:val="397"/>
        </w:trPr>
        <w:tc>
          <w:tcPr>
            <w:tcW w:w="1220" w:type="dxa"/>
            <w:vAlign w:val="center"/>
          </w:tcPr>
          <w:p w14:paraId="69884848" w14:textId="77777777" w:rsidR="00701AE3" w:rsidRPr="003B7101" w:rsidRDefault="00701AE3" w:rsidP="00701AE3">
            <w:pPr>
              <w:pStyle w:val="Normlntenzabezmezer"/>
              <w:rPr>
                <w:rFonts w:cs="Arial"/>
                <w:lang w:eastAsia="ar-SA"/>
              </w:rPr>
            </w:pPr>
            <w:r w:rsidRPr="003B7101">
              <w:rPr>
                <w:rFonts w:cs="Arial"/>
                <w:lang w:eastAsia="ar-SA"/>
              </w:rPr>
              <w:t>17 02 03</w:t>
            </w:r>
          </w:p>
        </w:tc>
        <w:tc>
          <w:tcPr>
            <w:tcW w:w="3796" w:type="dxa"/>
            <w:vAlign w:val="center"/>
          </w:tcPr>
          <w:p w14:paraId="2C49D60A" w14:textId="77777777" w:rsidR="00701AE3" w:rsidRPr="003B7101" w:rsidRDefault="00701AE3" w:rsidP="00701AE3">
            <w:pPr>
              <w:pStyle w:val="Normlntenzabezmezer"/>
              <w:rPr>
                <w:rFonts w:cs="Arial"/>
                <w:lang w:eastAsia="ar-SA"/>
              </w:rPr>
            </w:pPr>
            <w:r w:rsidRPr="003B7101">
              <w:rPr>
                <w:rFonts w:cs="Arial"/>
                <w:lang w:eastAsia="ar-SA"/>
              </w:rPr>
              <w:t>Plasty</w:t>
            </w:r>
          </w:p>
        </w:tc>
        <w:tc>
          <w:tcPr>
            <w:tcW w:w="1155" w:type="dxa"/>
            <w:vAlign w:val="center"/>
          </w:tcPr>
          <w:p w14:paraId="27A4F5FB" w14:textId="77777777" w:rsidR="00701AE3" w:rsidRPr="003B7101" w:rsidRDefault="00701AE3" w:rsidP="00701AE3">
            <w:pPr>
              <w:pStyle w:val="Normlntenzabezmezer"/>
              <w:rPr>
                <w:rFonts w:cs="Arial"/>
                <w:lang w:eastAsia="ar-SA"/>
              </w:rPr>
            </w:pPr>
            <w:r w:rsidRPr="003B7101">
              <w:rPr>
                <w:rFonts w:cs="Arial"/>
                <w:lang w:eastAsia="ar-SA"/>
              </w:rPr>
              <w:t>O</w:t>
            </w:r>
          </w:p>
        </w:tc>
        <w:tc>
          <w:tcPr>
            <w:tcW w:w="1251" w:type="dxa"/>
            <w:vAlign w:val="center"/>
          </w:tcPr>
          <w:p w14:paraId="7E7D686F" w14:textId="77777777" w:rsidR="00701AE3" w:rsidRPr="003B7101" w:rsidRDefault="00701AE3" w:rsidP="00701AE3">
            <w:pPr>
              <w:pStyle w:val="Normlntenzabezmezer"/>
            </w:pPr>
            <w:r w:rsidRPr="003B7101">
              <w:t>1</w:t>
            </w:r>
          </w:p>
        </w:tc>
        <w:tc>
          <w:tcPr>
            <w:tcW w:w="1718" w:type="dxa"/>
            <w:vAlign w:val="center"/>
          </w:tcPr>
          <w:p w14:paraId="2C1C6AC1" w14:textId="77777777" w:rsidR="00701AE3" w:rsidRPr="005D01E1" w:rsidRDefault="00701AE3" w:rsidP="00701AE3">
            <w:pPr>
              <w:pStyle w:val="Normlntenzabezmezer"/>
            </w:pPr>
            <w:r w:rsidRPr="005D01E1">
              <w:t>0,5 t</w:t>
            </w:r>
          </w:p>
        </w:tc>
      </w:tr>
      <w:tr w:rsidR="00701AE3" w:rsidRPr="003B7101" w14:paraId="76FD1A8E" w14:textId="77777777" w:rsidTr="007E0203">
        <w:trPr>
          <w:cantSplit/>
          <w:trHeight w:val="397"/>
        </w:trPr>
        <w:tc>
          <w:tcPr>
            <w:tcW w:w="1220" w:type="dxa"/>
            <w:vAlign w:val="center"/>
          </w:tcPr>
          <w:p w14:paraId="5B5BD948" w14:textId="77777777" w:rsidR="00701AE3" w:rsidRPr="003B7101" w:rsidRDefault="00701AE3" w:rsidP="00701AE3">
            <w:pPr>
              <w:pStyle w:val="Normlntenzabezmezer"/>
            </w:pPr>
            <w:r w:rsidRPr="003B7101">
              <w:t>17 04 05</w:t>
            </w:r>
          </w:p>
        </w:tc>
        <w:tc>
          <w:tcPr>
            <w:tcW w:w="3796" w:type="dxa"/>
            <w:vAlign w:val="center"/>
          </w:tcPr>
          <w:p w14:paraId="6DAB8CA0" w14:textId="77777777" w:rsidR="00701AE3" w:rsidRPr="003B7101" w:rsidRDefault="00701AE3" w:rsidP="00701AE3">
            <w:pPr>
              <w:pStyle w:val="Normlntenzabezmezer"/>
            </w:pPr>
            <w:r w:rsidRPr="003B7101">
              <w:t>Železo, ocel</w:t>
            </w:r>
          </w:p>
        </w:tc>
        <w:tc>
          <w:tcPr>
            <w:tcW w:w="1155" w:type="dxa"/>
            <w:vAlign w:val="center"/>
          </w:tcPr>
          <w:p w14:paraId="693EBE6C" w14:textId="77777777" w:rsidR="00701AE3" w:rsidRPr="003B7101" w:rsidRDefault="00701AE3" w:rsidP="00701AE3">
            <w:pPr>
              <w:pStyle w:val="Normlntenzabezmezer"/>
            </w:pPr>
            <w:r w:rsidRPr="003B7101">
              <w:t>O</w:t>
            </w:r>
          </w:p>
        </w:tc>
        <w:tc>
          <w:tcPr>
            <w:tcW w:w="1251" w:type="dxa"/>
            <w:vAlign w:val="center"/>
          </w:tcPr>
          <w:p w14:paraId="271C2F72" w14:textId="77777777" w:rsidR="00701AE3" w:rsidRPr="003B7101" w:rsidRDefault="00701AE3" w:rsidP="00701AE3">
            <w:pPr>
              <w:pStyle w:val="Normlntenzabezmezer"/>
            </w:pPr>
            <w:r w:rsidRPr="003B7101">
              <w:t>1</w:t>
            </w:r>
          </w:p>
        </w:tc>
        <w:tc>
          <w:tcPr>
            <w:tcW w:w="1718" w:type="dxa"/>
            <w:vAlign w:val="center"/>
          </w:tcPr>
          <w:p w14:paraId="7F54E5B4" w14:textId="77777777" w:rsidR="00701AE3" w:rsidRPr="00037B15" w:rsidRDefault="00701AE3" w:rsidP="00701AE3">
            <w:pPr>
              <w:pStyle w:val="Normlntenzabezmezer"/>
            </w:pPr>
            <w:r w:rsidRPr="00037B15">
              <w:t>150 t</w:t>
            </w:r>
          </w:p>
        </w:tc>
      </w:tr>
      <w:tr w:rsidR="00701AE3" w:rsidRPr="003B7101" w14:paraId="29CE2A50" w14:textId="77777777" w:rsidTr="007E0203">
        <w:trPr>
          <w:cantSplit/>
          <w:trHeight w:val="397"/>
        </w:trPr>
        <w:tc>
          <w:tcPr>
            <w:tcW w:w="1220" w:type="dxa"/>
            <w:vAlign w:val="center"/>
          </w:tcPr>
          <w:p w14:paraId="66F0B6A4" w14:textId="77777777" w:rsidR="00701AE3" w:rsidRPr="003B7101" w:rsidRDefault="00701AE3" w:rsidP="00701AE3">
            <w:pPr>
              <w:pStyle w:val="Normlntenzabezmezer"/>
            </w:pPr>
            <w:r w:rsidRPr="003B7101">
              <w:t>17 04 07</w:t>
            </w:r>
          </w:p>
        </w:tc>
        <w:tc>
          <w:tcPr>
            <w:tcW w:w="3796" w:type="dxa"/>
            <w:vAlign w:val="center"/>
          </w:tcPr>
          <w:p w14:paraId="3B9B9190" w14:textId="77777777" w:rsidR="00701AE3" w:rsidRPr="003B7101" w:rsidRDefault="00701AE3" w:rsidP="00701AE3">
            <w:pPr>
              <w:pStyle w:val="Normlntenzabezmezer"/>
            </w:pPr>
            <w:r w:rsidRPr="003B7101">
              <w:t>Směsné kovy</w:t>
            </w:r>
          </w:p>
        </w:tc>
        <w:tc>
          <w:tcPr>
            <w:tcW w:w="1155" w:type="dxa"/>
            <w:vAlign w:val="center"/>
          </w:tcPr>
          <w:p w14:paraId="5A2C0EF0" w14:textId="77777777" w:rsidR="00701AE3" w:rsidRPr="003B7101" w:rsidRDefault="00701AE3" w:rsidP="00701AE3">
            <w:pPr>
              <w:pStyle w:val="Normlntenzabezmezer"/>
            </w:pPr>
            <w:r w:rsidRPr="003B7101">
              <w:t>O</w:t>
            </w:r>
          </w:p>
        </w:tc>
        <w:tc>
          <w:tcPr>
            <w:tcW w:w="1251" w:type="dxa"/>
            <w:vAlign w:val="center"/>
          </w:tcPr>
          <w:p w14:paraId="6745EDEB" w14:textId="77777777" w:rsidR="00701AE3" w:rsidRPr="005D01E1" w:rsidRDefault="00701AE3" w:rsidP="00701AE3">
            <w:pPr>
              <w:pStyle w:val="Normlntenzabezmezer"/>
            </w:pPr>
            <w:r w:rsidRPr="005D01E1">
              <w:t>1</w:t>
            </w:r>
          </w:p>
        </w:tc>
        <w:tc>
          <w:tcPr>
            <w:tcW w:w="1718" w:type="dxa"/>
            <w:vAlign w:val="center"/>
          </w:tcPr>
          <w:p w14:paraId="00C53D52" w14:textId="77777777" w:rsidR="00701AE3" w:rsidRPr="005D01E1" w:rsidRDefault="00701AE3" w:rsidP="00701AE3">
            <w:pPr>
              <w:pStyle w:val="Normlntenzabezmezer"/>
            </w:pPr>
            <w:r w:rsidRPr="005D01E1">
              <w:t>3 t</w:t>
            </w:r>
          </w:p>
        </w:tc>
      </w:tr>
      <w:tr w:rsidR="00701AE3" w:rsidRPr="003B7101" w14:paraId="5F64AC40" w14:textId="77777777" w:rsidTr="007E0203">
        <w:trPr>
          <w:cantSplit/>
          <w:trHeight w:val="397"/>
        </w:trPr>
        <w:tc>
          <w:tcPr>
            <w:tcW w:w="1220" w:type="dxa"/>
            <w:vAlign w:val="center"/>
          </w:tcPr>
          <w:p w14:paraId="653A0964" w14:textId="77777777" w:rsidR="00701AE3" w:rsidRPr="003B7101" w:rsidRDefault="00701AE3" w:rsidP="00701AE3">
            <w:pPr>
              <w:pStyle w:val="Normlntenzabezmezer"/>
            </w:pPr>
            <w:r w:rsidRPr="003B7101">
              <w:t>17 04 11</w:t>
            </w:r>
          </w:p>
        </w:tc>
        <w:tc>
          <w:tcPr>
            <w:tcW w:w="3796" w:type="dxa"/>
            <w:vAlign w:val="center"/>
          </w:tcPr>
          <w:p w14:paraId="7E872DDC" w14:textId="77777777" w:rsidR="00701AE3" w:rsidRPr="003B7101" w:rsidRDefault="00701AE3" w:rsidP="00701AE3">
            <w:pPr>
              <w:pStyle w:val="Normlntenzabezmezer"/>
            </w:pPr>
            <w:r w:rsidRPr="003B7101">
              <w:t>Kabely neuvedené pod 17 04 10</w:t>
            </w:r>
          </w:p>
        </w:tc>
        <w:tc>
          <w:tcPr>
            <w:tcW w:w="1155" w:type="dxa"/>
            <w:vAlign w:val="center"/>
          </w:tcPr>
          <w:p w14:paraId="22F74211" w14:textId="77777777" w:rsidR="00701AE3" w:rsidRPr="003B7101" w:rsidRDefault="00701AE3" w:rsidP="00701AE3">
            <w:pPr>
              <w:pStyle w:val="Normlntenzabezmezer"/>
            </w:pPr>
            <w:r w:rsidRPr="003B7101">
              <w:t>O</w:t>
            </w:r>
          </w:p>
        </w:tc>
        <w:tc>
          <w:tcPr>
            <w:tcW w:w="1251" w:type="dxa"/>
            <w:vAlign w:val="center"/>
          </w:tcPr>
          <w:p w14:paraId="02AE4472" w14:textId="77777777" w:rsidR="00701AE3" w:rsidRPr="003B7101" w:rsidRDefault="00701AE3" w:rsidP="00701AE3">
            <w:pPr>
              <w:pStyle w:val="Normlntenzabezmezer"/>
            </w:pPr>
            <w:r w:rsidRPr="003B7101">
              <w:t>2</w:t>
            </w:r>
          </w:p>
        </w:tc>
        <w:tc>
          <w:tcPr>
            <w:tcW w:w="1718" w:type="dxa"/>
            <w:vAlign w:val="center"/>
          </w:tcPr>
          <w:p w14:paraId="72847AB7" w14:textId="77777777" w:rsidR="00701AE3" w:rsidRPr="005D01E1" w:rsidRDefault="00701AE3" w:rsidP="00701AE3">
            <w:pPr>
              <w:pStyle w:val="Normlntenzabezmezer"/>
            </w:pPr>
            <w:r w:rsidRPr="005D01E1">
              <w:t>1 t</w:t>
            </w:r>
          </w:p>
        </w:tc>
      </w:tr>
      <w:tr w:rsidR="00701AE3" w:rsidRPr="003B7101" w14:paraId="69346D9D" w14:textId="77777777" w:rsidTr="007E0203">
        <w:trPr>
          <w:cantSplit/>
          <w:trHeight w:val="397"/>
        </w:trPr>
        <w:tc>
          <w:tcPr>
            <w:tcW w:w="1220" w:type="dxa"/>
            <w:vAlign w:val="center"/>
          </w:tcPr>
          <w:p w14:paraId="34310810" w14:textId="77777777" w:rsidR="00701AE3" w:rsidRPr="003B7101" w:rsidRDefault="00701AE3" w:rsidP="00701AE3">
            <w:pPr>
              <w:pStyle w:val="Normlntenzabezmezer"/>
            </w:pPr>
            <w:r w:rsidRPr="003B7101">
              <w:t>17 05 04</w:t>
            </w:r>
          </w:p>
        </w:tc>
        <w:tc>
          <w:tcPr>
            <w:tcW w:w="3796" w:type="dxa"/>
            <w:vAlign w:val="center"/>
          </w:tcPr>
          <w:p w14:paraId="580F2E78" w14:textId="77777777" w:rsidR="00701AE3" w:rsidRPr="003B7101" w:rsidRDefault="00701AE3" w:rsidP="00701AE3">
            <w:pPr>
              <w:pStyle w:val="Normlntenzabezmezer"/>
            </w:pPr>
            <w:r w:rsidRPr="003B7101">
              <w:t>Zemina a kamení</w:t>
            </w:r>
          </w:p>
        </w:tc>
        <w:tc>
          <w:tcPr>
            <w:tcW w:w="1155" w:type="dxa"/>
            <w:vAlign w:val="center"/>
          </w:tcPr>
          <w:p w14:paraId="59769792" w14:textId="77777777" w:rsidR="00701AE3" w:rsidRPr="003B7101" w:rsidRDefault="00701AE3" w:rsidP="00701AE3">
            <w:pPr>
              <w:pStyle w:val="Normlntenzabezmezer"/>
            </w:pPr>
            <w:r w:rsidRPr="003B7101">
              <w:t>O</w:t>
            </w:r>
          </w:p>
        </w:tc>
        <w:tc>
          <w:tcPr>
            <w:tcW w:w="1251" w:type="dxa"/>
            <w:vAlign w:val="center"/>
          </w:tcPr>
          <w:p w14:paraId="35A19E0C" w14:textId="77777777" w:rsidR="00701AE3" w:rsidRPr="005D01E1" w:rsidRDefault="00701AE3" w:rsidP="00701AE3">
            <w:pPr>
              <w:pStyle w:val="Normlntenzabezmezer"/>
            </w:pPr>
            <w:r w:rsidRPr="005D01E1">
              <w:t>1</w:t>
            </w:r>
          </w:p>
        </w:tc>
        <w:tc>
          <w:tcPr>
            <w:tcW w:w="1718" w:type="dxa"/>
            <w:vAlign w:val="center"/>
          </w:tcPr>
          <w:p w14:paraId="1438FC51" w14:textId="77777777" w:rsidR="00701AE3" w:rsidRPr="005D01E1" w:rsidRDefault="00701AE3" w:rsidP="00701AE3">
            <w:pPr>
              <w:pStyle w:val="Normlntenzabezmezer"/>
            </w:pPr>
            <w:r w:rsidRPr="005D01E1">
              <w:t>50 t</w:t>
            </w:r>
          </w:p>
        </w:tc>
      </w:tr>
      <w:tr w:rsidR="00701AE3" w:rsidRPr="003B7101" w14:paraId="07BAF793" w14:textId="77777777" w:rsidTr="007E0203">
        <w:trPr>
          <w:cantSplit/>
          <w:trHeight w:val="567"/>
        </w:trPr>
        <w:tc>
          <w:tcPr>
            <w:tcW w:w="1220" w:type="dxa"/>
            <w:vAlign w:val="center"/>
          </w:tcPr>
          <w:p w14:paraId="1B5E1719" w14:textId="77777777" w:rsidR="00701AE3" w:rsidRPr="003B7101" w:rsidRDefault="00701AE3" w:rsidP="00701AE3">
            <w:pPr>
              <w:pStyle w:val="Normlntenzabezmezer"/>
            </w:pPr>
            <w:r w:rsidRPr="003B7101">
              <w:t>17 06 04</w:t>
            </w:r>
          </w:p>
        </w:tc>
        <w:tc>
          <w:tcPr>
            <w:tcW w:w="3796" w:type="dxa"/>
            <w:vAlign w:val="center"/>
          </w:tcPr>
          <w:p w14:paraId="03A8E59D" w14:textId="77777777" w:rsidR="00701AE3" w:rsidRPr="003B7101" w:rsidRDefault="00701AE3" w:rsidP="00701AE3">
            <w:pPr>
              <w:pStyle w:val="Normlntenzabezmezer"/>
            </w:pPr>
            <w:r w:rsidRPr="003B7101">
              <w:t xml:space="preserve">Ostatní izolační materiály neuvedený </w:t>
            </w:r>
          </w:p>
          <w:p w14:paraId="017D6F1D" w14:textId="77777777" w:rsidR="00701AE3" w:rsidRPr="003B7101" w:rsidRDefault="00701AE3" w:rsidP="00701AE3">
            <w:pPr>
              <w:pStyle w:val="Normlntenzabezmezer"/>
            </w:pPr>
            <w:r w:rsidRPr="003B7101">
              <w:t>pod 17 06 01 a 17 06 03</w:t>
            </w:r>
          </w:p>
        </w:tc>
        <w:tc>
          <w:tcPr>
            <w:tcW w:w="1155" w:type="dxa"/>
            <w:vAlign w:val="center"/>
          </w:tcPr>
          <w:p w14:paraId="441C4C0E" w14:textId="77777777" w:rsidR="00701AE3" w:rsidRPr="003B7101" w:rsidRDefault="00701AE3" w:rsidP="00701AE3">
            <w:pPr>
              <w:pStyle w:val="Normlntenzabezmezer"/>
            </w:pPr>
            <w:r w:rsidRPr="003B7101">
              <w:t>O</w:t>
            </w:r>
          </w:p>
        </w:tc>
        <w:tc>
          <w:tcPr>
            <w:tcW w:w="1251" w:type="dxa"/>
            <w:vAlign w:val="center"/>
          </w:tcPr>
          <w:p w14:paraId="0C9E887C" w14:textId="77777777" w:rsidR="00701AE3" w:rsidRPr="003B7101" w:rsidRDefault="00701AE3" w:rsidP="00701AE3">
            <w:pPr>
              <w:pStyle w:val="Normlntenzabezmezer"/>
            </w:pPr>
            <w:r w:rsidRPr="003B7101">
              <w:t>2</w:t>
            </w:r>
          </w:p>
        </w:tc>
        <w:tc>
          <w:tcPr>
            <w:tcW w:w="1718" w:type="dxa"/>
            <w:vAlign w:val="center"/>
          </w:tcPr>
          <w:p w14:paraId="38E6C25B" w14:textId="77777777" w:rsidR="00701AE3" w:rsidRPr="005D01E1" w:rsidRDefault="00701AE3" w:rsidP="00701AE3">
            <w:pPr>
              <w:pStyle w:val="Normlntenzabezmezer"/>
            </w:pPr>
            <w:r w:rsidRPr="005D01E1">
              <w:t>1</w:t>
            </w:r>
            <w:r>
              <w:t>5</w:t>
            </w:r>
            <w:r w:rsidRPr="005D01E1">
              <w:t> t</w:t>
            </w:r>
          </w:p>
        </w:tc>
      </w:tr>
      <w:tr w:rsidR="00701AE3" w:rsidRPr="003B7101" w14:paraId="1B047C95" w14:textId="77777777" w:rsidTr="007E0203">
        <w:trPr>
          <w:cantSplit/>
          <w:trHeight w:val="567"/>
        </w:trPr>
        <w:tc>
          <w:tcPr>
            <w:tcW w:w="1220" w:type="dxa"/>
            <w:vAlign w:val="center"/>
          </w:tcPr>
          <w:p w14:paraId="2AB88610" w14:textId="77777777" w:rsidR="00701AE3" w:rsidRPr="003B7101" w:rsidRDefault="00701AE3" w:rsidP="00701AE3">
            <w:pPr>
              <w:pStyle w:val="Normlntenzabezmezer"/>
            </w:pPr>
            <w:r w:rsidRPr="003B7101">
              <w:t>17 09 04</w:t>
            </w:r>
          </w:p>
        </w:tc>
        <w:tc>
          <w:tcPr>
            <w:tcW w:w="3796" w:type="dxa"/>
            <w:vAlign w:val="center"/>
          </w:tcPr>
          <w:p w14:paraId="03FBEE7B" w14:textId="77777777" w:rsidR="00701AE3" w:rsidRPr="003B7101" w:rsidRDefault="00701AE3" w:rsidP="00701AE3">
            <w:pPr>
              <w:pStyle w:val="Normlntenzabezmezer"/>
            </w:pPr>
            <w:r w:rsidRPr="003B7101">
              <w:t xml:space="preserve">Směsný stavební odpad neuvedený </w:t>
            </w:r>
          </w:p>
          <w:p w14:paraId="72F88FEA" w14:textId="77777777" w:rsidR="00701AE3" w:rsidRPr="003B7101" w:rsidRDefault="00701AE3" w:rsidP="00701AE3">
            <w:pPr>
              <w:pStyle w:val="Normlntenzabezmezer"/>
            </w:pPr>
            <w:r w:rsidRPr="003B7101">
              <w:t>pod 17 09 01, 17 09 02, 17 09 03</w:t>
            </w:r>
          </w:p>
        </w:tc>
        <w:tc>
          <w:tcPr>
            <w:tcW w:w="1155" w:type="dxa"/>
            <w:vAlign w:val="center"/>
          </w:tcPr>
          <w:p w14:paraId="44B5FCCB" w14:textId="77777777" w:rsidR="00701AE3" w:rsidRPr="003B7101" w:rsidRDefault="00701AE3" w:rsidP="00701AE3">
            <w:pPr>
              <w:pStyle w:val="Normlntenzabezmezer"/>
            </w:pPr>
            <w:r w:rsidRPr="003B7101">
              <w:t>O</w:t>
            </w:r>
          </w:p>
        </w:tc>
        <w:tc>
          <w:tcPr>
            <w:tcW w:w="1251" w:type="dxa"/>
            <w:vAlign w:val="center"/>
          </w:tcPr>
          <w:p w14:paraId="14AFCA18" w14:textId="77777777" w:rsidR="00701AE3" w:rsidRPr="003B7101" w:rsidRDefault="00701AE3" w:rsidP="00701AE3">
            <w:pPr>
              <w:pStyle w:val="Normlntenzabezmezer"/>
            </w:pPr>
            <w:r w:rsidRPr="003B7101">
              <w:t>2</w:t>
            </w:r>
          </w:p>
        </w:tc>
        <w:tc>
          <w:tcPr>
            <w:tcW w:w="1718" w:type="dxa"/>
            <w:vAlign w:val="center"/>
          </w:tcPr>
          <w:p w14:paraId="36E8C619" w14:textId="77777777" w:rsidR="00701AE3" w:rsidRPr="005D01E1" w:rsidRDefault="00701AE3" w:rsidP="00701AE3">
            <w:pPr>
              <w:pStyle w:val="Normlntenzabezmezer"/>
            </w:pPr>
            <w:r>
              <w:t>7 </w:t>
            </w:r>
            <w:r w:rsidRPr="005D01E1">
              <w:t>t</w:t>
            </w:r>
          </w:p>
        </w:tc>
      </w:tr>
      <w:tr w:rsidR="00701AE3" w:rsidRPr="003B7101" w14:paraId="4C505FFA" w14:textId="77777777" w:rsidTr="007E0203">
        <w:trPr>
          <w:cantSplit/>
          <w:trHeight w:val="397"/>
        </w:trPr>
        <w:tc>
          <w:tcPr>
            <w:tcW w:w="1220" w:type="dxa"/>
            <w:vAlign w:val="center"/>
          </w:tcPr>
          <w:p w14:paraId="162C2F42" w14:textId="77777777" w:rsidR="00701AE3" w:rsidRPr="003B7101" w:rsidRDefault="00701AE3" w:rsidP="00701AE3">
            <w:pPr>
              <w:pStyle w:val="Normlntenzabezmezer"/>
            </w:pPr>
            <w:r w:rsidRPr="003B7101">
              <w:t>50 01 23</w:t>
            </w:r>
          </w:p>
        </w:tc>
        <w:tc>
          <w:tcPr>
            <w:tcW w:w="3796" w:type="dxa"/>
            <w:vAlign w:val="center"/>
          </w:tcPr>
          <w:p w14:paraId="381DA343" w14:textId="77777777" w:rsidR="00701AE3" w:rsidRPr="003B7101" w:rsidRDefault="00701AE3" w:rsidP="00701AE3">
            <w:pPr>
              <w:pStyle w:val="Normlntenzabezmezer"/>
            </w:pPr>
            <w:r w:rsidRPr="003B7101">
              <w:t>Zářivky a výbojky</w:t>
            </w:r>
          </w:p>
        </w:tc>
        <w:tc>
          <w:tcPr>
            <w:tcW w:w="1155" w:type="dxa"/>
            <w:vAlign w:val="center"/>
          </w:tcPr>
          <w:p w14:paraId="640D023A" w14:textId="77777777" w:rsidR="00701AE3" w:rsidRPr="003B7101" w:rsidRDefault="00701AE3" w:rsidP="00701AE3">
            <w:pPr>
              <w:pStyle w:val="Normlntenzabezmezer"/>
            </w:pPr>
            <w:r w:rsidRPr="003B7101">
              <w:t>N</w:t>
            </w:r>
          </w:p>
        </w:tc>
        <w:tc>
          <w:tcPr>
            <w:tcW w:w="1251" w:type="dxa"/>
            <w:vAlign w:val="center"/>
          </w:tcPr>
          <w:p w14:paraId="621B5072" w14:textId="77777777" w:rsidR="00701AE3" w:rsidRPr="005D01E1" w:rsidRDefault="00701AE3" w:rsidP="00701AE3">
            <w:pPr>
              <w:pStyle w:val="Normlntenzabezmezer"/>
            </w:pPr>
            <w:r w:rsidRPr="005D01E1">
              <w:t>1</w:t>
            </w:r>
          </w:p>
        </w:tc>
        <w:tc>
          <w:tcPr>
            <w:tcW w:w="1718" w:type="dxa"/>
            <w:vAlign w:val="center"/>
          </w:tcPr>
          <w:p w14:paraId="4CEA1C66" w14:textId="77777777" w:rsidR="00701AE3" w:rsidRPr="005D01E1" w:rsidRDefault="00701AE3" w:rsidP="00701AE3">
            <w:pPr>
              <w:pStyle w:val="Normlntenzabezmezer"/>
            </w:pPr>
            <w:r w:rsidRPr="005D01E1">
              <w:t>60</w:t>
            </w:r>
            <w:r>
              <w:t> </w:t>
            </w:r>
            <w:r w:rsidRPr="005D01E1">
              <w:t>kg</w:t>
            </w:r>
          </w:p>
        </w:tc>
      </w:tr>
    </w:tbl>
    <w:p w14:paraId="427EDB61" w14:textId="77777777" w:rsidR="00701AE3" w:rsidRPr="00E073F1" w:rsidRDefault="00701AE3" w:rsidP="00E826BA">
      <w:pPr>
        <w:pStyle w:val="Normlntenzabezmezer"/>
      </w:pPr>
    </w:p>
    <w:p w14:paraId="17B2DEC0" w14:textId="77777777" w:rsidR="00701AE3" w:rsidRPr="00921C51" w:rsidRDefault="00701AE3" w:rsidP="00E826BA">
      <w:pPr>
        <w:pStyle w:val="Normlntenzabezmezer"/>
      </w:pPr>
      <w:r w:rsidRPr="00921C51">
        <w:t xml:space="preserve">Odpady z provozu stavebních strojů (motorové oleje, akumulátory, pneumatiky, apod.) bude zneškodňovat stavební firma v rámci svých programů odpadových hospodářství. </w:t>
      </w:r>
    </w:p>
    <w:p w14:paraId="44181C4E" w14:textId="77777777" w:rsidR="00701AE3" w:rsidRDefault="00701AE3" w:rsidP="00E826BA">
      <w:pPr>
        <w:pStyle w:val="Normlntenzabezmezer"/>
        <w:rPr>
          <w:rFonts w:cs="Arial"/>
        </w:rPr>
      </w:pPr>
    </w:p>
    <w:p w14:paraId="6C02AAC9" w14:textId="77777777" w:rsidR="00701AE3" w:rsidRDefault="00701AE3" w:rsidP="00E826BA">
      <w:pPr>
        <w:pStyle w:val="Normlntenzabezmezer"/>
        <w:rPr>
          <w:b/>
        </w:rPr>
      </w:pPr>
      <w:r w:rsidRPr="00701AE3">
        <w:rPr>
          <w:b/>
        </w:rPr>
        <w:t>Celkové množství odpadu:</w:t>
      </w:r>
    </w:p>
    <w:p w14:paraId="3D5EC1AD" w14:textId="77777777" w:rsidR="00E4055D" w:rsidRPr="00701AE3" w:rsidRDefault="00E4055D" w:rsidP="00E826BA">
      <w:pPr>
        <w:pStyle w:val="Normlntenzabezmezer"/>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7492"/>
        <w:gridCol w:w="1718"/>
      </w:tblGrid>
      <w:tr w:rsidR="00701AE3" w:rsidRPr="00500348" w14:paraId="67041847" w14:textId="77777777" w:rsidTr="00AE7A22">
        <w:tc>
          <w:tcPr>
            <w:tcW w:w="4102" w:type="pct"/>
            <w:shd w:val="clear" w:color="auto" w:fill="BFBFBF" w:themeFill="background1" w:themeFillShade="BF"/>
            <w:vAlign w:val="center"/>
          </w:tcPr>
          <w:p w14:paraId="7738EFF9" w14:textId="77777777" w:rsidR="00701AE3" w:rsidRPr="00500348" w:rsidRDefault="00701AE3" w:rsidP="00500348">
            <w:pPr>
              <w:pStyle w:val="Normlntenzabezmezer"/>
              <w:rPr>
                <w:b/>
              </w:rPr>
            </w:pPr>
            <w:r w:rsidRPr="00500348">
              <w:rPr>
                <w:b/>
              </w:rPr>
              <w:t>Druh odpadu</w:t>
            </w:r>
          </w:p>
        </w:tc>
        <w:tc>
          <w:tcPr>
            <w:tcW w:w="898" w:type="pct"/>
            <w:shd w:val="clear" w:color="auto" w:fill="BFBFBF" w:themeFill="background1" w:themeFillShade="BF"/>
          </w:tcPr>
          <w:p w14:paraId="5E5B1366" w14:textId="77777777" w:rsidR="00701AE3" w:rsidRPr="00500348" w:rsidRDefault="00701AE3" w:rsidP="00500348">
            <w:pPr>
              <w:pStyle w:val="Normlntenzabezmezer"/>
              <w:rPr>
                <w:b/>
              </w:rPr>
            </w:pPr>
            <w:r w:rsidRPr="00500348">
              <w:rPr>
                <w:b/>
              </w:rPr>
              <w:t>Předpokládané množství</w:t>
            </w:r>
          </w:p>
        </w:tc>
      </w:tr>
      <w:tr w:rsidR="00701AE3" w:rsidRPr="00921C51" w14:paraId="5DF77C01" w14:textId="77777777" w:rsidTr="00AE7A22">
        <w:trPr>
          <w:trHeight w:val="380"/>
        </w:trPr>
        <w:tc>
          <w:tcPr>
            <w:tcW w:w="4102" w:type="pct"/>
            <w:tcBorders>
              <w:top w:val="single" w:sz="4" w:space="0" w:color="000000"/>
              <w:left w:val="single" w:sz="4" w:space="0" w:color="000000"/>
              <w:bottom w:val="single" w:sz="4" w:space="0" w:color="000000"/>
              <w:right w:val="single" w:sz="4" w:space="0" w:color="000000"/>
            </w:tcBorders>
            <w:vAlign w:val="center"/>
          </w:tcPr>
          <w:p w14:paraId="23244F09" w14:textId="77777777" w:rsidR="00701AE3" w:rsidRPr="00921C51" w:rsidRDefault="00701AE3" w:rsidP="00500348">
            <w:pPr>
              <w:pStyle w:val="Normlntenzabezmezer"/>
              <w:rPr>
                <w:rFonts w:eastAsia="Calibri"/>
              </w:rPr>
            </w:pPr>
            <w:r w:rsidRPr="00921C51">
              <w:rPr>
                <w:rFonts w:eastAsia="Calibri"/>
              </w:rPr>
              <w:t>Celkové množství z demolovaných objektů</w:t>
            </w:r>
          </w:p>
        </w:tc>
        <w:tc>
          <w:tcPr>
            <w:tcW w:w="898" w:type="pct"/>
            <w:tcBorders>
              <w:top w:val="single" w:sz="4" w:space="0" w:color="000000"/>
              <w:left w:val="single" w:sz="4" w:space="0" w:color="000000"/>
              <w:bottom w:val="single" w:sz="4" w:space="0" w:color="000000"/>
              <w:right w:val="single" w:sz="4" w:space="0" w:color="000000"/>
            </w:tcBorders>
            <w:vAlign w:val="center"/>
          </w:tcPr>
          <w:p w14:paraId="42F8CDAF" w14:textId="77777777" w:rsidR="00701AE3" w:rsidRPr="00037B15" w:rsidRDefault="00636A08" w:rsidP="00500348">
            <w:pPr>
              <w:pStyle w:val="Normlntenzabezmezer"/>
              <w:rPr>
                <w:rFonts w:eastAsia="Calibri"/>
              </w:rPr>
            </w:pPr>
            <w:r>
              <w:rPr>
                <w:rFonts w:eastAsia="Calibri"/>
              </w:rPr>
              <w:t>7</w:t>
            </w:r>
            <w:r w:rsidR="00701AE3" w:rsidRPr="00037B15">
              <w:rPr>
                <w:rFonts w:eastAsia="Calibri"/>
              </w:rPr>
              <w:t>00 m</w:t>
            </w:r>
            <w:r w:rsidR="00701AE3" w:rsidRPr="00037B15">
              <w:rPr>
                <w:rFonts w:eastAsia="Calibri"/>
                <w:vertAlign w:val="superscript"/>
              </w:rPr>
              <w:t>3</w:t>
            </w:r>
          </w:p>
        </w:tc>
      </w:tr>
    </w:tbl>
    <w:p w14:paraId="7A5D0C80" w14:textId="77777777" w:rsidR="00701AE3" w:rsidRDefault="00701AE3" w:rsidP="00B66F3D">
      <w:pPr>
        <w:pStyle w:val="Normlntenzabezmezer"/>
      </w:pPr>
    </w:p>
    <w:p w14:paraId="5EB5780B" w14:textId="77777777" w:rsidR="00701AE3" w:rsidRPr="00921C51" w:rsidRDefault="00701AE3" w:rsidP="00B66F3D">
      <w:pPr>
        <w:pStyle w:val="Normlntenzabezmezer"/>
      </w:pPr>
      <w:r w:rsidRPr="00921C51">
        <w:t>U nebezpečných odpadů z prováděných stavebních nebo bouracích prací musí mít stavebník nebo dodavatel stavby, udělen souhlas k nakládání s nebezpečnými odpady dle § 16 odst. 3 zákona č. 185/2001 Sb. Nakládání s odpady vznikajících při demoličních pracích bude zajišťovat dodavatel stavby. Již při provádění demoličních prací je nutné třídit vybourané stavební hmoty tak, aby je bylo možné efektivně recyklovat a dále zpracovávat bez dopadů na životní prostředí. Stavební materiály, které není možné recyklovat, je nezbytné uložit na příslušné skládce a tuto skutečnost doložit příslušnými doklady. Nebezpečné odpady budou ukládány na speciální skládky, k tomuto účelu zřízené.</w:t>
      </w:r>
    </w:p>
    <w:p w14:paraId="72CB2D69" w14:textId="77777777" w:rsidR="00701AE3" w:rsidRPr="00B11B87" w:rsidRDefault="00701AE3" w:rsidP="00B66F3D">
      <w:pPr>
        <w:pStyle w:val="Normlntenzabezmezer"/>
        <w:rPr>
          <w:rFonts w:ascii="Arial Narrow" w:hAnsi="Arial Narrow"/>
        </w:rPr>
      </w:pPr>
      <w:r w:rsidRPr="00B11B87">
        <w:rPr>
          <w:rFonts w:ascii="Arial Narrow" w:hAnsi="Arial Narrow"/>
        </w:rPr>
        <w:t xml:space="preserve">    </w:t>
      </w:r>
    </w:p>
    <w:p w14:paraId="779A192A" w14:textId="77777777" w:rsidR="00701AE3" w:rsidRPr="00A558B6" w:rsidRDefault="00A558B6" w:rsidP="00B66F3D">
      <w:pPr>
        <w:pStyle w:val="Nadpis3"/>
      </w:pPr>
      <w:bookmarkStart w:id="44" w:name="_Toc45723508"/>
      <w:r>
        <w:t xml:space="preserve">i) </w:t>
      </w:r>
      <w:r w:rsidR="00701AE3" w:rsidRPr="00A558B6">
        <w:t>ochrana životního prostředí při odstraňování stavby</w:t>
      </w:r>
      <w:bookmarkEnd w:id="44"/>
    </w:p>
    <w:p w14:paraId="6DC4628E" w14:textId="77777777" w:rsidR="00701AE3" w:rsidRPr="00B41BF6" w:rsidRDefault="00701AE3" w:rsidP="00B66F3D">
      <w:pPr>
        <w:pStyle w:val="Normlntenzabezmezer"/>
      </w:pPr>
      <w:r w:rsidRPr="00B41BF6">
        <w:t>V průběhu provádění bouracích prací je zhotovitel povinen provádět opatření, která eliminují veškeré negativní vlivy na životní prostředí.</w:t>
      </w:r>
    </w:p>
    <w:p w14:paraId="2205DCFF" w14:textId="77777777" w:rsidR="00701AE3" w:rsidRPr="00B41BF6" w:rsidRDefault="00701AE3" w:rsidP="00B66F3D">
      <w:pPr>
        <w:pStyle w:val="Normlntenzabezmezer"/>
      </w:pPr>
      <w:r w:rsidRPr="00B41BF6">
        <w:t xml:space="preserve">Vozidla vyjíždějící ze staveniště musí být řádně očištěna, aby nedocházelo ke znečišťování ploch a komunikací. </w:t>
      </w:r>
    </w:p>
    <w:p w14:paraId="55FBDC68" w14:textId="1940D052" w:rsidR="00701AE3" w:rsidRDefault="00701AE3" w:rsidP="00B66F3D">
      <w:pPr>
        <w:pStyle w:val="Normlntenzabezmezer"/>
      </w:pPr>
      <w:r w:rsidRPr="00B41BF6">
        <w:lastRenderedPageBreak/>
        <w:t>V případě vzniku nadměrné prašnosti, bude použito skrápění vodou či jiné vhodné formy ochrany. V průběhu výstavby nesmí docházet k znečištění povrchových vod a ohrožování kvality podzemních vod. Dodavatel musí dodržovat zejména ustanovení dána nařízením vlády č. 61/2003 Sb., o ukazatelích a hodnotách přípustného znečištění povrchových vod a odpadních vod, náležitostech povolení k vypouštění odpadních vod do vod povrchových a do kanalizací. Dále je potřeba účinně řešit opatření pro snížení hladiny hluku tak, aby tato byla v daných mezích, které jsou stanoveny normami a hygienickými předpisy.</w:t>
      </w:r>
      <w:r w:rsidRPr="0095395B">
        <w:t xml:space="preserve"> </w:t>
      </w:r>
    </w:p>
    <w:p w14:paraId="730D7AC5" w14:textId="3C8B8053" w:rsidR="00B769C2" w:rsidRDefault="00B769C2" w:rsidP="00B769C2">
      <w:pPr>
        <w:pStyle w:val="Default"/>
      </w:pPr>
      <w:r>
        <w:t>Je nutné dodržet podmínky MMB OŽP  Referátu ochrany ovzduší:</w:t>
      </w:r>
    </w:p>
    <w:p w14:paraId="189CAB55" w14:textId="38916F27" w:rsidR="00B769C2" w:rsidRPr="00B769C2" w:rsidRDefault="00B769C2" w:rsidP="00B769C2">
      <w:pPr>
        <w:pStyle w:val="Normlntenzabezmezer"/>
      </w:pPr>
      <w:r>
        <w:t xml:space="preserve">1. </w:t>
      </w:r>
      <w:r w:rsidRPr="00B769C2">
        <w:t xml:space="preserve">Při provádění bouracích prací bude prováděno kropení bouraných komunikací a stavební suti, a to v takové intenzitě, aby při bourání nedocházelo ke zvýšené prašnosti. Toto opatření není vyžadováno v období, kdy teplota vzduchu v daném místě a čase klesne pod 0˚C. </w:t>
      </w:r>
    </w:p>
    <w:p w14:paraId="4E58AF4A" w14:textId="77777777" w:rsidR="00B769C2" w:rsidRPr="00B769C2" w:rsidRDefault="00B769C2" w:rsidP="00B769C2">
      <w:pPr>
        <w:pStyle w:val="Normlntenzabezmezer"/>
      </w:pPr>
      <w:r w:rsidRPr="00B769C2">
        <w:t xml:space="preserve">2. Minimálně 2 x týdně zajistí zhotovitel stavby důkladné očištění komunikace u všech výjezdů ze stavby, a to minimálně úseku ve vzdálenosti 100 m od výjezdu ze stavby v každém směru. V případě způsobeného silného znečištění komunikace zajistí zhotovitel stavby odstranění tohoto znečištění bezodkladně. Provedená čištění bude pověřená osoba stavby zaznamenávat do stavebního deníku. </w:t>
      </w:r>
    </w:p>
    <w:p w14:paraId="0C8056B4" w14:textId="77777777" w:rsidR="00B769C2" w:rsidRPr="00B769C2" w:rsidRDefault="00B769C2" w:rsidP="00B769C2">
      <w:pPr>
        <w:pStyle w:val="Normlntenzabezmezer"/>
      </w:pPr>
      <w:r w:rsidRPr="00B769C2">
        <w:t xml:space="preserve">3. Zhotovitel stavby zajistí ve spolupráci se všemi smluvními dopravci důkladnou kontrolu čistoty vozidel a stavebních strojů před výjezdem ze staveniště a v případě zjištěného znečištění na těchto vozidlech (bláto na kolech nebo podvozku vozidel) bude okamžitě zajištěna jejich důkladná očista. </w:t>
      </w:r>
    </w:p>
    <w:p w14:paraId="328AF5BB" w14:textId="77777777" w:rsidR="00B769C2" w:rsidRPr="00B769C2" w:rsidRDefault="00B769C2" w:rsidP="00B769C2">
      <w:pPr>
        <w:pStyle w:val="Normlntenzabezmezer"/>
      </w:pPr>
      <w:r w:rsidRPr="00B769C2">
        <w:t xml:space="preserve">Magistrát města Brna | Odbor životního prostředí MMB/0211656/2020/SEMI Kounicova 67 | 601 67 Brno | www.brno.cz 2 </w:t>
      </w:r>
    </w:p>
    <w:p w14:paraId="2F788C42" w14:textId="7A441B29" w:rsidR="00B769C2" w:rsidRPr="00B769C2" w:rsidRDefault="00B769C2" w:rsidP="00B769C2">
      <w:pPr>
        <w:pStyle w:val="Normlntenzabezmezer"/>
      </w:pPr>
      <w:r>
        <w:t xml:space="preserve">4. </w:t>
      </w:r>
      <w:r w:rsidRPr="00B769C2">
        <w:t xml:space="preserve">Při řezání stavebních materiálů ve vnějším prostředí (dlažby, asfaltu, zdiva apod.) bude prováděno kropení řezaného materiálu, nebo bude využita řezačka s vodní clonou (tzv. mokrá řezačka). Toto opatření není vyžadováno v případě, pokud teplota vzduchu v daném místě a čase klesne pod 0˚C. </w:t>
      </w:r>
    </w:p>
    <w:p w14:paraId="0AF1DEF0" w14:textId="77777777" w:rsidR="00B769C2" w:rsidRPr="00B769C2" w:rsidRDefault="00B769C2" w:rsidP="00B769C2">
      <w:pPr>
        <w:pStyle w:val="Normlntenzabezmezer"/>
      </w:pPr>
      <w:r w:rsidRPr="00B769C2">
        <w:t xml:space="preserve">5. Na stavbě bude striktně dodržován zákaz spalování odpadních materiálů na staveništi. </w:t>
      </w:r>
    </w:p>
    <w:p w14:paraId="01502AC0" w14:textId="77777777" w:rsidR="00B769C2" w:rsidRPr="00B769C2" w:rsidRDefault="00B769C2" w:rsidP="00B769C2">
      <w:pPr>
        <w:pStyle w:val="Normlntenzabezmezer"/>
      </w:pPr>
      <w:r w:rsidRPr="00B769C2">
        <w:t xml:space="preserve">6. Při přepravě sypkých materiálů zajistí zhotovitel stavby ve spolupráci se všemi dopravci taková opatření, aby nedocházelo k rozsypávání přepravovaných materiálů za jízdy. </w:t>
      </w:r>
    </w:p>
    <w:p w14:paraId="2ED2E8F3" w14:textId="77777777" w:rsidR="00B769C2" w:rsidRPr="00B769C2" w:rsidRDefault="00B769C2" w:rsidP="00B769C2">
      <w:pPr>
        <w:pStyle w:val="Normlntenzabezmezer"/>
      </w:pPr>
      <w:r w:rsidRPr="00B769C2">
        <w:t xml:space="preserve">7. V případě využití drtícího recyklačního zařízení v místě demolice je nutné zajistit povolení k provozu od Krajského úřadu Jihomoravského kraje (dle </w:t>
      </w:r>
      <w:proofErr w:type="spellStart"/>
      <w:r w:rsidRPr="00B769C2">
        <w:t>ust</w:t>
      </w:r>
      <w:proofErr w:type="spellEnd"/>
      <w:r w:rsidRPr="00B769C2">
        <w:t xml:space="preserve">. § 11odst. 2 zákona o ochraně ovzduší). V případě, že bude zhotovitel stavby na staveništi zařízení k drcení stavební suti provozovat, zajistí trvalé kropení stavební suti na vstupu do tohoto zařízení. Pokud to nebude možné z technických důvodů nebo z důvodů povětrnostních podmínek zajistit, nesmí být drtící zařízení v provozu. </w:t>
      </w:r>
    </w:p>
    <w:p w14:paraId="5CD82D9A" w14:textId="77777777" w:rsidR="00B769C2" w:rsidRPr="00B769C2" w:rsidRDefault="00B769C2" w:rsidP="00B769C2">
      <w:pPr>
        <w:pStyle w:val="Normlntenzabezmezer"/>
      </w:pPr>
      <w:r w:rsidRPr="00B769C2">
        <w:t xml:space="preserve">8. Sypké stavební materiály, popř. suť budou skladovány na vyhrazených místech, aby nedocházelo k roznosu do okolí (např. vlivem větru). </w:t>
      </w:r>
    </w:p>
    <w:p w14:paraId="6C5A6773" w14:textId="21C6F9CB" w:rsidR="00B769C2" w:rsidRDefault="00B769C2" w:rsidP="00B769C2">
      <w:pPr>
        <w:pStyle w:val="Normlntenzabezmezer"/>
      </w:pPr>
      <w:r w:rsidRPr="00B769C2">
        <w:t xml:space="preserve">9. Staveniště budou obsluhovat pouze vozidla, která splňují emisní normu EURO III a vyšší. </w:t>
      </w:r>
    </w:p>
    <w:p w14:paraId="69699904" w14:textId="1FEF085D" w:rsidR="0066101D" w:rsidRPr="00B769C2" w:rsidRDefault="0066101D" w:rsidP="00B769C2">
      <w:pPr>
        <w:pStyle w:val="Normlntenzabezmezer"/>
      </w:pPr>
      <w:r>
        <w:t>Dále je nutné dodržet podmínky koordinovaného stanoviska Odboru majetku, dopravy a životního prostředí Úřadu městské části města Brna Brno – Židenice.</w:t>
      </w:r>
    </w:p>
    <w:p w14:paraId="1801E592" w14:textId="77777777" w:rsidR="00B769C2" w:rsidRDefault="00B769C2" w:rsidP="00B769C2">
      <w:pPr>
        <w:pStyle w:val="Normlntenzabezmezer"/>
      </w:pPr>
    </w:p>
    <w:p w14:paraId="4560D176" w14:textId="77777777" w:rsidR="00701AE3" w:rsidRPr="00A558B6" w:rsidRDefault="00A558B6" w:rsidP="00B66F3D">
      <w:pPr>
        <w:pStyle w:val="Nadpis3"/>
      </w:pPr>
      <w:bookmarkStart w:id="45" w:name="_Toc45723509"/>
      <w:r>
        <w:t xml:space="preserve">j) </w:t>
      </w:r>
      <w:r w:rsidR="00701AE3" w:rsidRPr="00A558B6">
        <w:t>zásady bezpečnosti a ochrany zdraví při práci na staveništi</w:t>
      </w:r>
      <w:bookmarkEnd w:id="45"/>
    </w:p>
    <w:p w14:paraId="2E506333" w14:textId="77777777" w:rsidR="00701AE3" w:rsidRPr="00B41BF6" w:rsidRDefault="00701AE3" w:rsidP="00A558B6">
      <w:pPr>
        <w:pStyle w:val="Normlntenzabezmezer"/>
      </w:pPr>
      <w:r w:rsidRPr="00B41BF6">
        <w:t xml:space="preserve">V průběhu prací se zhotovitelé musí řídit obecnými požadavky bezpečnosti práce obsaženými v aktuálně platných zněních právních předpisů, zejména: </w:t>
      </w:r>
    </w:p>
    <w:p w14:paraId="5CFA725E" w14:textId="77777777" w:rsidR="00701AE3" w:rsidRPr="00B41BF6" w:rsidRDefault="00701AE3" w:rsidP="00A558B6">
      <w:pPr>
        <w:pStyle w:val="Normlntenzabezmezer"/>
      </w:pPr>
      <w:r w:rsidRPr="00B41BF6">
        <w:t>Zákoník práce č. 262/2006 Sb. v platném znění</w:t>
      </w:r>
    </w:p>
    <w:p w14:paraId="0F026DFF" w14:textId="77777777" w:rsidR="00701AE3" w:rsidRPr="00B41BF6" w:rsidRDefault="00701AE3" w:rsidP="00A558B6">
      <w:pPr>
        <w:pStyle w:val="Normlntenzabezmezer"/>
      </w:pPr>
      <w:r w:rsidRPr="00B41BF6">
        <w:t>Zák. č. 309/2006 Sb. o zajištění dalších podmínek BOZP</w:t>
      </w:r>
    </w:p>
    <w:p w14:paraId="6B428E0D" w14:textId="77777777" w:rsidR="00701AE3" w:rsidRPr="00B41BF6" w:rsidRDefault="00701AE3" w:rsidP="00A558B6">
      <w:pPr>
        <w:pStyle w:val="Normlntenzabezmezer"/>
      </w:pPr>
      <w:r w:rsidRPr="00B41BF6">
        <w:t>Zák. č. 251/2005 Sb. o inspekci práce</w:t>
      </w:r>
    </w:p>
    <w:p w14:paraId="73506E53" w14:textId="77777777" w:rsidR="00701AE3" w:rsidRPr="00B41BF6" w:rsidRDefault="00701AE3" w:rsidP="00A558B6">
      <w:pPr>
        <w:pStyle w:val="Normlntenzabezmezer"/>
      </w:pPr>
      <w:r w:rsidRPr="00B41BF6">
        <w:lastRenderedPageBreak/>
        <w:t>Zák. č. 258/2000 Sb. o ochraně veřejného zdraví</w:t>
      </w:r>
    </w:p>
    <w:p w14:paraId="6FA54BAD" w14:textId="77777777" w:rsidR="00701AE3" w:rsidRPr="00B41BF6" w:rsidRDefault="00701AE3" w:rsidP="00A558B6">
      <w:pPr>
        <w:pStyle w:val="Normlntenzabezmezer"/>
      </w:pPr>
      <w:r w:rsidRPr="00B41BF6">
        <w:t>Zák. č. 361/2000 Sb. o provozu na pozemních komunikacích</w:t>
      </w:r>
    </w:p>
    <w:p w14:paraId="335530D9" w14:textId="77777777" w:rsidR="00701AE3" w:rsidRPr="00B41BF6" w:rsidRDefault="00701AE3" w:rsidP="00A558B6">
      <w:pPr>
        <w:pStyle w:val="Normlntenzabezmezer"/>
      </w:pPr>
      <w:r w:rsidRPr="00B41BF6">
        <w:t>Zák. č. 458/2000 Sb., o státní energetické inspekci - ochranná pásma elektrovodů</w:t>
      </w:r>
    </w:p>
    <w:p w14:paraId="663FB831" w14:textId="77777777" w:rsidR="00701AE3" w:rsidRPr="00B41BF6" w:rsidRDefault="00701AE3" w:rsidP="00A558B6">
      <w:pPr>
        <w:pStyle w:val="Normlntenzabezmezer"/>
      </w:pPr>
      <w:r w:rsidRPr="00B41BF6">
        <w:t>Zák. č. 373/2011 Sb. o specifických zdravotních službách</w:t>
      </w:r>
    </w:p>
    <w:p w14:paraId="358A14F4" w14:textId="77777777" w:rsidR="00701AE3" w:rsidRPr="00B41BF6" w:rsidRDefault="00701AE3" w:rsidP="00A558B6">
      <w:pPr>
        <w:pStyle w:val="Normlntenzabezmezer"/>
      </w:pPr>
      <w:proofErr w:type="spellStart"/>
      <w:r w:rsidRPr="00B41BF6">
        <w:t>Vyhl</w:t>
      </w:r>
      <w:proofErr w:type="spellEnd"/>
      <w:r w:rsidRPr="00B41BF6">
        <w:t>. č. 87/2000 Sb., kterou se stanoví podmínky požární bezpečnosti při svařování a nahřívání živic v tavných nádobách</w:t>
      </w:r>
    </w:p>
    <w:p w14:paraId="0D52B6BA" w14:textId="77777777" w:rsidR="00701AE3" w:rsidRPr="00B41BF6" w:rsidRDefault="00701AE3" w:rsidP="00A558B6">
      <w:pPr>
        <w:pStyle w:val="Normlntenzabezmezer"/>
      </w:pPr>
      <w:proofErr w:type="spellStart"/>
      <w:r w:rsidRPr="00B41BF6">
        <w:t>Vyhl</w:t>
      </w:r>
      <w:proofErr w:type="spellEnd"/>
      <w:r w:rsidRPr="00B41BF6">
        <w:t>. č. 48/l982 Sb. základní požadavky k zajištění bezpečnosti práce a technických zařízení</w:t>
      </w:r>
    </w:p>
    <w:p w14:paraId="3938A821" w14:textId="77777777" w:rsidR="00701AE3" w:rsidRPr="00B41BF6" w:rsidRDefault="00701AE3" w:rsidP="00A558B6">
      <w:pPr>
        <w:pStyle w:val="Normlntenzabezmezer"/>
      </w:pPr>
      <w:proofErr w:type="spellStart"/>
      <w:r w:rsidRPr="00B41BF6">
        <w:t>Vyhl</w:t>
      </w:r>
      <w:proofErr w:type="spellEnd"/>
      <w:r w:rsidRPr="00B41BF6">
        <w:t>. č. 50/1978 Sb. kvalifikace v elektrotechnice</w:t>
      </w:r>
    </w:p>
    <w:p w14:paraId="4D96DA6C" w14:textId="77777777" w:rsidR="00701AE3" w:rsidRPr="00B41BF6" w:rsidRDefault="00701AE3" w:rsidP="00A558B6">
      <w:pPr>
        <w:pStyle w:val="Normlntenzabezmezer"/>
      </w:pPr>
      <w:proofErr w:type="spellStart"/>
      <w:r w:rsidRPr="00B41BF6">
        <w:t>Nař.vl</w:t>
      </w:r>
      <w:proofErr w:type="spellEnd"/>
      <w:r w:rsidRPr="00B41BF6">
        <w:t>. č. 495/2001 Sb., kterým se stanoví rozsah a bližší podmínky poskytování osobních ochranných pracovních prostředků, mycích, čistících a desinfekčních prostředků</w:t>
      </w:r>
    </w:p>
    <w:p w14:paraId="2F46324F"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361/2007 Sb., kterým se stanoví podmínky ochrany zdraví při práci</w:t>
      </w:r>
    </w:p>
    <w:p w14:paraId="3304C8B5"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432/2003 Sb. zařazování prací do kategorií</w:t>
      </w:r>
    </w:p>
    <w:p w14:paraId="59949095"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11/2002 Sb. kterým se stanoví vzhled a umístění bezpečnostních značek a zavedení signálů</w:t>
      </w:r>
    </w:p>
    <w:p w14:paraId="337B9340"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101/2005 Sb., o podrobnějších požadavcích na pracoviště a pracovní prostředí</w:t>
      </w:r>
    </w:p>
    <w:p w14:paraId="26CCC00A"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362/2005 Sb., o bližších požadavcích na bezpečnost a ochranu zdraví při práci na pracovištích s nebezpečím pádu z výšky nebo do hloubky</w:t>
      </w:r>
    </w:p>
    <w:p w14:paraId="17F0058B"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378/2001 Sb., kterým se stanoví bližší požadavky na bezpečný provoz a používání strojů, technických zařízení, přístrojů a nářadí</w:t>
      </w:r>
    </w:p>
    <w:p w14:paraId="6E116B07"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272/2011 Sb. o ochraně zdraví před nepříznivými účinky hluku a vibrací</w:t>
      </w:r>
    </w:p>
    <w:p w14:paraId="2D43DAF6"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168/2002 Sb., kterým se stanoví způsob organizace práce a pracovních postupů, které je zaměstnavatel povinen při provozování dopravy dopravními prostředky</w:t>
      </w:r>
    </w:p>
    <w:p w14:paraId="1F33ED1B" w14:textId="77777777" w:rsidR="00701AE3" w:rsidRPr="00B41BF6" w:rsidRDefault="00701AE3" w:rsidP="00A558B6">
      <w:pPr>
        <w:pStyle w:val="Normlntenzabezmezer"/>
      </w:pPr>
      <w:proofErr w:type="spellStart"/>
      <w:r w:rsidRPr="00B41BF6">
        <w:t>Nař</w:t>
      </w:r>
      <w:proofErr w:type="spellEnd"/>
      <w:r w:rsidRPr="00B41BF6">
        <w:t xml:space="preserve">. </w:t>
      </w:r>
      <w:proofErr w:type="spellStart"/>
      <w:r w:rsidRPr="00B41BF6">
        <w:t>vl</w:t>
      </w:r>
      <w:proofErr w:type="spellEnd"/>
      <w:r w:rsidRPr="00B41BF6">
        <w:t>. č. 591/2006 Sb., o bližších minimálních požadavcích na bezpečnost a ochranu zdraví při práci na staveništích</w:t>
      </w:r>
    </w:p>
    <w:p w14:paraId="261BE134" w14:textId="77777777" w:rsidR="00701AE3" w:rsidRPr="00B41BF6" w:rsidRDefault="00701AE3" w:rsidP="00A558B6">
      <w:pPr>
        <w:pStyle w:val="Normlntenzabezmezer"/>
      </w:pPr>
      <w:r w:rsidRPr="00B41BF6">
        <w:t>a dále v technologických (pracovních) postupech, které musí být zpracovány zhotovitelem u všech prací s bezpečnostním rizikem (plán BOZP</w:t>
      </w:r>
      <w:r w:rsidR="00B84CC9">
        <w:t xml:space="preserve"> – bezpečnost a ochr</w:t>
      </w:r>
      <w:r w:rsidR="0094083C">
        <w:t>a</w:t>
      </w:r>
      <w:r w:rsidR="00B84CC9">
        <w:t>na zdraví při</w:t>
      </w:r>
      <w:r w:rsidR="0094083C">
        <w:t xml:space="preserve"> </w:t>
      </w:r>
      <w:r w:rsidR="00B84CC9">
        <w:t>práci</w:t>
      </w:r>
      <w:r w:rsidRPr="00B41BF6">
        <w:t xml:space="preserve">), v návodech výrobců a vlastními řídícími dokumenty v oblasti bezpečnosti práce. </w:t>
      </w:r>
    </w:p>
    <w:p w14:paraId="169B4ACE" w14:textId="77777777" w:rsidR="00701AE3" w:rsidRPr="00B41BF6" w:rsidRDefault="00701AE3" w:rsidP="00A558B6">
      <w:pPr>
        <w:pStyle w:val="Normlntenzabezmezer"/>
      </w:pPr>
      <w:r w:rsidRPr="00B41BF6">
        <w:t>Koordinátor BOZP a plán bezpečnosti a ochrany zdraví při práci na staveništi (plán BOZP</w:t>
      </w:r>
      <w:r w:rsidR="0094083C">
        <w:t xml:space="preserve"> – bezpečnost a ochrana zdraví při práci</w:t>
      </w:r>
      <w:r w:rsidRPr="00B41BF6">
        <w:t>) :</w:t>
      </w:r>
    </w:p>
    <w:p w14:paraId="5E917C2D" w14:textId="77777777" w:rsidR="00701AE3" w:rsidRPr="00B41BF6" w:rsidRDefault="00701AE3" w:rsidP="00A558B6">
      <w:pPr>
        <w:pStyle w:val="Normlntenzabezmezer"/>
      </w:pPr>
      <w:r w:rsidRPr="00B41BF6">
        <w:t>Dle zákona 309/2006 Sb. §14 - budou-li na staveništi působit zaměstnanci více než jednoho zhotovitele stavby, je zadavatel (stavebník) stavby povinen určit potřebný počet koordinátorů BOZP na staveništi s přihlédnutím k rozsahu a složitosti díla a jeho náročnosti na koordinaci ve fázi přípravy a ve fázi jeho realizace.</w:t>
      </w:r>
    </w:p>
    <w:p w14:paraId="0E55C529" w14:textId="77777777" w:rsidR="00701AE3" w:rsidRPr="00B41BF6" w:rsidRDefault="00701AE3" w:rsidP="00A558B6">
      <w:pPr>
        <w:pStyle w:val="Normlntenzabezmezer"/>
      </w:pPr>
      <w:r w:rsidRPr="00B41BF6">
        <w:t>Plán bezpečnosti a ochrany zdraví při práci na staveništi (dále jen Plán BOZP) stanovuje požadavky pro zajištění bezpečné a zdraví neohrožující práce a z nich vyplývající povinnosti vytvářet pracovní podmínky, které umožňují bezpečný výkon činností při realizaci stavby.</w:t>
      </w:r>
    </w:p>
    <w:p w14:paraId="0B795E36" w14:textId="77777777" w:rsidR="00701AE3" w:rsidRPr="00B41BF6" w:rsidRDefault="00701AE3" w:rsidP="00A558B6">
      <w:pPr>
        <w:pStyle w:val="Normlntenzabezmezer"/>
      </w:pPr>
    </w:p>
    <w:p w14:paraId="4A1FE674" w14:textId="77777777" w:rsidR="00701AE3" w:rsidRDefault="00701AE3" w:rsidP="00A558B6">
      <w:pPr>
        <w:pStyle w:val="Normlntenzabezmezer"/>
      </w:pPr>
      <w:r w:rsidRPr="00B41BF6">
        <w:t>Plán BOZP</w:t>
      </w:r>
      <w:r w:rsidR="0094083C">
        <w:t xml:space="preserve"> (bezpečnosti a ochrany zdraví při práci)</w:t>
      </w:r>
      <w:r w:rsidRPr="00B41BF6">
        <w:t xml:space="preserve"> řeší rizika, jejichž působení může mít vážné důsledky a zpracovává se v následujících případech, pokud budou na stavbě vykonávané práce a činnosti vystavující fyzickou osobu zvýšenému ohrožení života nebo poškození zdraví dle zákona 309/2006 Sb. §15 odst. 2, které jsou stanoveny prováděcím předpisem – Nařízení vlády č. 591/2006 Sb., příloha č. 5:</w:t>
      </w:r>
    </w:p>
    <w:p w14:paraId="44D8C9C1" w14:textId="77777777" w:rsidR="00F91CE7" w:rsidRPr="00B41BF6" w:rsidRDefault="00F91CE7" w:rsidP="00A558B6">
      <w:pPr>
        <w:pStyle w:val="Normlntenzabezmezer"/>
      </w:pPr>
    </w:p>
    <w:p w14:paraId="4BC0D43E" w14:textId="77777777" w:rsidR="00701AE3" w:rsidRPr="00701AE3" w:rsidRDefault="00701AE3" w:rsidP="00701AE3">
      <w:pPr>
        <w:pStyle w:val="Normlntenzabezmezer"/>
        <w:numPr>
          <w:ilvl w:val="0"/>
          <w:numId w:val="4"/>
        </w:numPr>
      </w:pPr>
      <w:r w:rsidRPr="00701AE3">
        <w:t>práce vystavující zaměstnance riziku poškození zdraví nebo smrti sesuvem uvolněné zeminy ve výkopu o hloubce větší než 5 m.</w:t>
      </w:r>
    </w:p>
    <w:p w14:paraId="3F9B3447" w14:textId="77777777" w:rsidR="00701AE3" w:rsidRPr="00701AE3" w:rsidRDefault="00701AE3" w:rsidP="00701AE3">
      <w:pPr>
        <w:pStyle w:val="Normlntenzabezmezer"/>
        <w:numPr>
          <w:ilvl w:val="0"/>
          <w:numId w:val="4"/>
        </w:numPr>
      </w:pPr>
      <w:r w:rsidRPr="00701AE3">
        <w:lastRenderedPageBreak/>
        <w:t>práce související s požíváním nebezpečných vysoce toxických chemických látek a přípravků nebo při výskytu biologických činitelů podle zvláštních právních předpisů.</w:t>
      </w:r>
    </w:p>
    <w:p w14:paraId="403154E5" w14:textId="77777777" w:rsidR="00701AE3" w:rsidRPr="00701AE3" w:rsidRDefault="00701AE3" w:rsidP="00701AE3">
      <w:pPr>
        <w:pStyle w:val="Normlntenzabezmezer"/>
        <w:numPr>
          <w:ilvl w:val="0"/>
          <w:numId w:val="4"/>
        </w:numPr>
      </w:pPr>
      <w:r w:rsidRPr="00701AE3">
        <w:t>práce se zdroji ionizujícího záření pokud se na ně nevztahují zvláštní právní předpisy.</w:t>
      </w:r>
    </w:p>
    <w:p w14:paraId="3F92AB82" w14:textId="77777777" w:rsidR="00701AE3" w:rsidRPr="00701AE3" w:rsidRDefault="00701AE3" w:rsidP="00701AE3">
      <w:pPr>
        <w:pStyle w:val="Normlntenzabezmezer"/>
        <w:numPr>
          <w:ilvl w:val="0"/>
          <w:numId w:val="4"/>
        </w:numPr>
      </w:pPr>
      <w:r w:rsidRPr="00701AE3">
        <w:t>práce nad vodou nebo v její těsné blízkosti spojené s bezprostředním nebezpečím utonutí.</w:t>
      </w:r>
    </w:p>
    <w:p w14:paraId="78CA7DA7" w14:textId="77777777" w:rsidR="00701AE3" w:rsidRPr="00701AE3" w:rsidRDefault="00701AE3" w:rsidP="00701AE3">
      <w:pPr>
        <w:pStyle w:val="Normlntenzabezmezer"/>
        <w:numPr>
          <w:ilvl w:val="0"/>
          <w:numId w:val="4"/>
        </w:numPr>
      </w:pPr>
      <w:r w:rsidRPr="00701AE3">
        <w:t>práce, při kterých hrozí pád z výšky nebo do volné hloubky více než 10 m.</w:t>
      </w:r>
    </w:p>
    <w:p w14:paraId="0B43714C" w14:textId="77777777" w:rsidR="00701AE3" w:rsidRPr="00701AE3" w:rsidRDefault="00701AE3" w:rsidP="00701AE3">
      <w:pPr>
        <w:pStyle w:val="Normlntenzabezmezer"/>
        <w:numPr>
          <w:ilvl w:val="0"/>
          <w:numId w:val="4"/>
        </w:numPr>
      </w:pPr>
      <w:r w:rsidRPr="00701AE3">
        <w:t>práce vykonávané v ochranných pásmech energetických vedení popřípadě zařízení technického vybavení.</w:t>
      </w:r>
    </w:p>
    <w:p w14:paraId="355E2D61" w14:textId="77777777" w:rsidR="00701AE3" w:rsidRPr="00701AE3" w:rsidRDefault="00701AE3" w:rsidP="00701AE3">
      <w:pPr>
        <w:pStyle w:val="Normlntenzabezmezer"/>
        <w:numPr>
          <w:ilvl w:val="0"/>
          <w:numId w:val="4"/>
        </w:numPr>
      </w:pPr>
      <w:r w:rsidRPr="00701AE3">
        <w:t>studnařské práce, zemní práce prováděné protlačováním nebo mikro-tunelováním z podzemního díla, práce při stavbě tunelů, pokud nepodléhají dozoru orgánů státní báňské správy.</w:t>
      </w:r>
    </w:p>
    <w:p w14:paraId="78FFA1A0" w14:textId="77777777" w:rsidR="00701AE3" w:rsidRPr="00701AE3" w:rsidRDefault="00701AE3" w:rsidP="00701AE3">
      <w:pPr>
        <w:pStyle w:val="Normlntenzabezmezer"/>
        <w:numPr>
          <w:ilvl w:val="0"/>
          <w:numId w:val="4"/>
        </w:numPr>
      </w:pPr>
      <w:r w:rsidRPr="00701AE3">
        <w:t>práce s použitím výbušnin podle zvláštních předpisů</w:t>
      </w:r>
    </w:p>
    <w:p w14:paraId="01E86A98" w14:textId="77777777" w:rsidR="00701AE3" w:rsidRPr="00701AE3" w:rsidRDefault="00701AE3" w:rsidP="00701AE3">
      <w:pPr>
        <w:pStyle w:val="Normlntenzabezmezer"/>
        <w:numPr>
          <w:ilvl w:val="0"/>
          <w:numId w:val="4"/>
        </w:numPr>
      </w:pPr>
      <w:r w:rsidRPr="00701AE3">
        <w:t>práce spojené s montáží těžkých konstrukčních stavebních dílů kovových, betonových a dřevěných, určených pro trvalé zabudování do staveb.</w:t>
      </w:r>
    </w:p>
    <w:p w14:paraId="4C4DF93F" w14:textId="77777777" w:rsidR="00701AE3" w:rsidRPr="00C40997" w:rsidRDefault="00701AE3" w:rsidP="00701AE3">
      <w:pPr>
        <w:spacing w:line="276" w:lineRule="auto"/>
      </w:pPr>
    </w:p>
    <w:p w14:paraId="665FD049" w14:textId="77777777" w:rsidR="00701AE3" w:rsidRPr="00F91CE7" w:rsidRDefault="00F91CE7" w:rsidP="00B66F3D">
      <w:pPr>
        <w:pStyle w:val="Nadpis3"/>
      </w:pPr>
      <w:bookmarkStart w:id="46" w:name="_Toc45723510"/>
      <w:r>
        <w:t xml:space="preserve">k) </w:t>
      </w:r>
      <w:r w:rsidR="00701AE3" w:rsidRPr="00F91CE7">
        <w:t>úpravy pro bezbariérové užívání staveb dotčených odstraněním stavby</w:t>
      </w:r>
      <w:bookmarkEnd w:id="46"/>
    </w:p>
    <w:p w14:paraId="04C66EAB" w14:textId="77777777" w:rsidR="00701AE3" w:rsidRPr="00785443" w:rsidRDefault="00701AE3" w:rsidP="00B66F3D">
      <w:pPr>
        <w:pStyle w:val="Normlntenzabezmezer"/>
      </w:pPr>
      <w:r w:rsidRPr="00785443">
        <w:t>Neřeší se.</w:t>
      </w:r>
    </w:p>
    <w:p w14:paraId="4B904A0C" w14:textId="77777777" w:rsidR="00701AE3" w:rsidRDefault="00701AE3" w:rsidP="00B66F3D">
      <w:pPr>
        <w:pStyle w:val="Normlntenzabezmezer"/>
      </w:pPr>
    </w:p>
    <w:p w14:paraId="7975837A" w14:textId="77777777" w:rsidR="00701AE3" w:rsidRPr="00F91CE7" w:rsidRDefault="00F91CE7" w:rsidP="00B66F3D">
      <w:pPr>
        <w:pStyle w:val="Nadpis3"/>
      </w:pPr>
      <w:bookmarkStart w:id="47" w:name="_Toc45723511"/>
      <w:r>
        <w:t xml:space="preserve">l) </w:t>
      </w:r>
      <w:r w:rsidR="00701AE3" w:rsidRPr="00F91CE7">
        <w:t>zásady pro dopravně inženýrská opatření</w:t>
      </w:r>
      <w:bookmarkEnd w:id="47"/>
    </w:p>
    <w:p w14:paraId="2C41C659" w14:textId="77777777" w:rsidR="00313842" w:rsidRDefault="00701AE3" w:rsidP="00B66F3D">
      <w:pPr>
        <w:pStyle w:val="Normlntenzabezmezer"/>
      </w:pPr>
      <w:r w:rsidRPr="00785443">
        <w:t>Návrh dočasného dopravního značení či dalších omezení v rámci DIO projedná vybraný dodavatel prací s příslušnými orgány a vlastníkem areálu</w:t>
      </w:r>
      <w:r w:rsidR="007D22C3">
        <w:t xml:space="preserve"> Brněnské spalovny odpadů</w:t>
      </w:r>
      <w:r w:rsidRPr="00785443">
        <w:t xml:space="preserve"> (</w:t>
      </w:r>
      <w:r w:rsidR="00427E9C">
        <w:t>ZEVO</w:t>
      </w:r>
      <w:r w:rsidRPr="00785443">
        <w:t xml:space="preserve">), a to s ohledem na jím navržený způsob postupu demolice jednotlivých objektů. </w:t>
      </w:r>
      <w:r w:rsidR="00D11BFC">
        <w:t>Nep</w:t>
      </w:r>
      <w:r w:rsidRPr="00785443">
        <w:t>ředpokládají se omezení na komunikacích v blízkosti stavby, případně úpravy výjezdu vozidel stavby na veřejnou komunikaci.</w:t>
      </w:r>
    </w:p>
    <w:p w14:paraId="726314E1" w14:textId="77777777" w:rsidR="005E43EF" w:rsidRDefault="005E43EF" w:rsidP="00B66F3D">
      <w:pPr>
        <w:pStyle w:val="Normlntenzabezmezer"/>
      </w:pPr>
    </w:p>
    <w:p w14:paraId="5E24DFB1" w14:textId="77777777" w:rsidR="005E43EF" w:rsidRDefault="005E43EF" w:rsidP="00B66F3D">
      <w:pPr>
        <w:pStyle w:val="Normlntenzabezmezer"/>
      </w:pPr>
    </w:p>
    <w:p w14:paraId="47A66F21" w14:textId="77777777" w:rsidR="005E43EF" w:rsidRPr="002304F5" w:rsidRDefault="005E43EF" w:rsidP="005E43EF">
      <w:pPr>
        <w:pStyle w:val="Nadpis2"/>
        <w:rPr>
          <w:rFonts w:eastAsia="Times New Roman"/>
          <w:lang w:eastAsia="cs-CZ"/>
        </w:rPr>
      </w:pPr>
      <w:bookmarkStart w:id="48" w:name="_Toc45723512"/>
      <w:r>
        <w:rPr>
          <w:rFonts w:eastAsia="Times New Roman"/>
          <w:lang w:eastAsia="cs-CZ"/>
        </w:rPr>
        <w:t>Přehled zkratek</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372"/>
      </w:tblGrid>
      <w:tr w:rsidR="005E43EF" w:rsidRPr="00B50F3D" w14:paraId="303F6BBF" w14:textId="77777777" w:rsidTr="005E43EF">
        <w:tc>
          <w:tcPr>
            <w:tcW w:w="2688" w:type="dxa"/>
          </w:tcPr>
          <w:p w14:paraId="5702190F" w14:textId="77777777" w:rsidR="005E43EF" w:rsidRPr="00B50F3D" w:rsidRDefault="005E43EF" w:rsidP="005E43EF">
            <w:pPr>
              <w:overflowPunct w:val="0"/>
              <w:autoSpaceDE w:val="0"/>
              <w:autoSpaceDN w:val="0"/>
              <w:adjustRightInd w:val="0"/>
              <w:textAlignment w:val="baseline"/>
              <w:rPr>
                <w:rFonts w:cs="Tahoma"/>
                <w:b/>
              </w:rPr>
            </w:pPr>
            <w:r w:rsidRPr="00B50F3D">
              <w:rPr>
                <w:rFonts w:cs="Tahoma"/>
                <w:b/>
              </w:rPr>
              <w:t>Zkratka</w:t>
            </w:r>
          </w:p>
        </w:tc>
        <w:tc>
          <w:tcPr>
            <w:tcW w:w="6372" w:type="dxa"/>
          </w:tcPr>
          <w:p w14:paraId="068826A6" w14:textId="77777777" w:rsidR="005E43EF" w:rsidRPr="00B50F3D" w:rsidRDefault="005E43EF" w:rsidP="005E43EF">
            <w:pPr>
              <w:overflowPunct w:val="0"/>
              <w:autoSpaceDE w:val="0"/>
              <w:autoSpaceDN w:val="0"/>
              <w:adjustRightInd w:val="0"/>
              <w:textAlignment w:val="baseline"/>
              <w:rPr>
                <w:rFonts w:cs="Tahoma"/>
                <w:b/>
              </w:rPr>
            </w:pPr>
            <w:r w:rsidRPr="00B50F3D">
              <w:rPr>
                <w:rFonts w:cs="Tahoma"/>
                <w:b/>
              </w:rPr>
              <w:t>Význam</w:t>
            </w:r>
          </w:p>
        </w:tc>
      </w:tr>
      <w:tr w:rsidR="005E43EF" w:rsidRPr="00B50F3D" w14:paraId="7A4C0F79" w14:textId="77777777" w:rsidTr="005E43EF">
        <w:tc>
          <w:tcPr>
            <w:tcW w:w="2688" w:type="dxa"/>
          </w:tcPr>
          <w:p w14:paraId="0C155622" w14:textId="77777777" w:rsidR="005E43EF" w:rsidRPr="00042983" w:rsidRDefault="00664FDB" w:rsidP="005E43EF">
            <w:pPr>
              <w:overflowPunct w:val="0"/>
              <w:autoSpaceDE w:val="0"/>
              <w:autoSpaceDN w:val="0"/>
              <w:adjustRightInd w:val="0"/>
              <w:textAlignment w:val="baseline"/>
              <w:rPr>
                <w:rFonts w:cs="Tahoma"/>
              </w:rPr>
            </w:pPr>
            <w:r w:rsidRPr="00042983">
              <w:rPr>
                <w:rFonts w:cs="Tahoma"/>
              </w:rPr>
              <w:t>BOZP</w:t>
            </w:r>
          </w:p>
        </w:tc>
        <w:tc>
          <w:tcPr>
            <w:tcW w:w="6372" w:type="dxa"/>
          </w:tcPr>
          <w:p w14:paraId="2995FE5D" w14:textId="156B6298" w:rsidR="005E43EF" w:rsidRPr="00042983" w:rsidRDefault="003E0DC6" w:rsidP="005E43EF">
            <w:pPr>
              <w:overflowPunct w:val="0"/>
              <w:autoSpaceDE w:val="0"/>
              <w:autoSpaceDN w:val="0"/>
              <w:adjustRightInd w:val="0"/>
              <w:textAlignment w:val="baseline"/>
              <w:rPr>
                <w:rFonts w:cs="Tahoma"/>
              </w:rPr>
            </w:pPr>
            <w:r>
              <w:rPr>
                <w:rFonts w:cs="Tahoma"/>
              </w:rPr>
              <w:t>B</w:t>
            </w:r>
            <w:r w:rsidR="00664FDB" w:rsidRPr="00042983">
              <w:rPr>
                <w:rFonts w:cs="Tahoma"/>
              </w:rPr>
              <w:t>ezpečnost a ochrana zdraví při práci</w:t>
            </w:r>
          </w:p>
        </w:tc>
      </w:tr>
      <w:tr w:rsidR="005E43EF" w:rsidRPr="00B50F3D" w14:paraId="0025E953" w14:textId="77777777" w:rsidTr="005E43EF">
        <w:tc>
          <w:tcPr>
            <w:tcW w:w="2688" w:type="dxa"/>
          </w:tcPr>
          <w:p w14:paraId="52FA7F0E"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ČSN</w:t>
            </w:r>
          </w:p>
        </w:tc>
        <w:tc>
          <w:tcPr>
            <w:tcW w:w="6372" w:type="dxa"/>
          </w:tcPr>
          <w:p w14:paraId="6EE91DB7" w14:textId="74DBBF49" w:rsidR="005E43EF" w:rsidRPr="00042983" w:rsidRDefault="003E0DC6" w:rsidP="005E43EF">
            <w:pPr>
              <w:overflowPunct w:val="0"/>
              <w:autoSpaceDE w:val="0"/>
              <w:autoSpaceDN w:val="0"/>
              <w:adjustRightInd w:val="0"/>
              <w:textAlignment w:val="baseline"/>
              <w:rPr>
                <w:rFonts w:cs="Tahoma"/>
              </w:rPr>
            </w:pPr>
            <w:r>
              <w:rPr>
                <w:rFonts w:cs="Tahoma"/>
              </w:rPr>
              <w:t>Č</w:t>
            </w:r>
            <w:r w:rsidR="005E43EF" w:rsidRPr="00042983">
              <w:rPr>
                <w:rFonts w:cs="Tahoma"/>
              </w:rPr>
              <w:t>eská státní norma</w:t>
            </w:r>
          </w:p>
        </w:tc>
      </w:tr>
      <w:tr w:rsidR="005E43EF" w:rsidRPr="00B50F3D" w14:paraId="6E75F0BA" w14:textId="77777777" w:rsidTr="005E43EF">
        <w:tc>
          <w:tcPr>
            <w:tcW w:w="2688" w:type="dxa"/>
          </w:tcPr>
          <w:p w14:paraId="4974C1BC" w14:textId="77777777" w:rsidR="005E43EF" w:rsidRPr="00042983" w:rsidRDefault="00042983" w:rsidP="005E43EF">
            <w:pPr>
              <w:overflowPunct w:val="0"/>
              <w:autoSpaceDE w:val="0"/>
              <w:autoSpaceDN w:val="0"/>
              <w:adjustRightInd w:val="0"/>
              <w:textAlignment w:val="baseline"/>
              <w:rPr>
                <w:rFonts w:cs="Tahoma"/>
              </w:rPr>
            </w:pPr>
            <w:r w:rsidRPr="00042983">
              <w:rPr>
                <w:rFonts w:cs="Tahoma"/>
              </w:rPr>
              <w:t>ČGS – GEOFOND</w:t>
            </w:r>
          </w:p>
        </w:tc>
        <w:tc>
          <w:tcPr>
            <w:tcW w:w="6372" w:type="dxa"/>
          </w:tcPr>
          <w:p w14:paraId="1F392610" w14:textId="77777777" w:rsidR="005E43EF" w:rsidRPr="00042983" w:rsidRDefault="00664FDB" w:rsidP="005E43EF">
            <w:pPr>
              <w:overflowPunct w:val="0"/>
              <w:autoSpaceDE w:val="0"/>
              <w:autoSpaceDN w:val="0"/>
              <w:adjustRightInd w:val="0"/>
              <w:textAlignment w:val="baseline"/>
              <w:rPr>
                <w:rFonts w:cs="Tahoma"/>
              </w:rPr>
            </w:pPr>
            <w:r w:rsidRPr="00042983">
              <w:rPr>
                <w:rFonts w:cs="Tahoma"/>
              </w:rPr>
              <w:t xml:space="preserve">Česká geologická </w:t>
            </w:r>
            <w:r w:rsidR="00042983" w:rsidRPr="00042983">
              <w:rPr>
                <w:rFonts w:cs="Tahoma"/>
              </w:rPr>
              <w:t>služba – Geofond</w:t>
            </w:r>
          </w:p>
        </w:tc>
      </w:tr>
      <w:tr w:rsidR="003E0DC6" w:rsidRPr="00B50F3D" w14:paraId="7B90B65C" w14:textId="77777777" w:rsidTr="005E43EF">
        <w:tc>
          <w:tcPr>
            <w:tcW w:w="2688" w:type="dxa"/>
          </w:tcPr>
          <w:p w14:paraId="4135C90C" w14:textId="04C80618" w:rsidR="003E0DC6" w:rsidRPr="00042983" w:rsidRDefault="003E0DC6" w:rsidP="005E43EF">
            <w:pPr>
              <w:overflowPunct w:val="0"/>
              <w:autoSpaceDE w:val="0"/>
              <w:autoSpaceDN w:val="0"/>
              <w:adjustRightInd w:val="0"/>
              <w:textAlignment w:val="baseline"/>
              <w:rPr>
                <w:rFonts w:cs="Tahoma"/>
              </w:rPr>
            </w:pPr>
            <w:r>
              <w:rPr>
                <w:rFonts w:cs="Tahoma"/>
              </w:rPr>
              <w:t>DBP</w:t>
            </w:r>
          </w:p>
        </w:tc>
        <w:tc>
          <w:tcPr>
            <w:tcW w:w="6372" w:type="dxa"/>
          </w:tcPr>
          <w:p w14:paraId="476EAA86" w14:textId="7D519A06" w:rsidR="003E0DC6" w:rsidRPr="00042983" w:rsidRDefault="003E0DC6" w:rsidP="005E43EF">
            <w:pPr>
              <w:overflowPunct w:val="0"/>
              <w:autoSpaceDE w:val="0"/>
              <w:autoSpaceDN w:val="0"/>
              <w:adjustRightInd w:val="0"/>
              <w:textAlignment w:val="baseline"/>
              <w:rPr>
                <w:rFonts w:cs="Tahoma"/>
              </w:rPr>
            </w:pPr>
            <w:r>
              <w:rPr>
                <w:rFonts w:cs="Tahoma"/>
              </w:rPr>
              <w:t>Dokumentace bouracích prací</w:t>
            </w:r>
          </w:p>
        </w:tc>
      </w:tr>
      <w:tr w:rsidR="005E43EF" w:rsidRPr="00B50F3D" w14:paraId="54BA0998" w14:textId="77777777" w:rsidTr="005E43EF">
        <w:tc>
          <w:tcPr>
            <w:tcW w:w="2688" w:type="dxa"/>
          </w:tcPr>
          <w:p w14:paraId="3DA10343" w14:textId="77777777" w:rsidR="005E43EF" w:rsidRPr="00042983" w:rsidRDefault="00042983" w:rsidP="005E43EF">
            <w:pPr>
              <w:overflowPunct w:val="0"/>
              <w:autoSpaceDE w:val="0"/>
              <w:autoSpaceDN w:val="0"/>
              <w:adjustRightInd w:val="0"/>
              <w:textAlignment w:val="baseline"/>
              <w:rPr>
                <w:rFonts w:cs="Tahoma"/>
              </w:rPr>
            </w:pPr>
            <w:r w:rsidRPr="00042983">
              <w:rPr>
                <w:rFonts w:cs="Tahoma"/>
              </w:rPr>
              <w:t>DIO</w:t>
            </w:r>
          </w:p>
        </w:tc>
        <w:tc>
          <w:tcPr>
            <w:tcW w:w="6372" w:type="dxa"/>
          </w:tcPr>
          <w:p w14:paraId="6506E632" w14:textId="07A8A998" w:rsidR="005E43EF" w:rsidRPr="00042983" w:rsidRDefault="003E0DC6" w:rsidP="005E43EF">
            <w:pPr>
              <w:overflowPunct w:val="0"/>
              <w:autoSpaceDE w:val="0"/>
              <w:autoSpaceDN w:val="0"/>
              <w:adjustRightInd w:val="0"/>
              <w:textAlignment w:val="baseline"/>
              <w:rPr>
                <w:rFonts w:cs="Tahoma"/>
              </w:rPr>
            </w:pPr>
            <w:r>
              <w:rPr>
                <w:rFonts w:cs="Tahoma"/>
              </w:rPr>
              <w:t>D</w:t>
            </w:r>
            <w:r w:rsidR="00042983" w:rsidRPr="00042983">
              <w:rPr>
                <w:rFonts w:cs="Tahoma"/>
              </w:rPr>
              <w:t>opravně inženýrské opatření</w:t>
            </w:r>
          </w:p>
        </w:tc>
      </w:tr>
      <w:tr w:rsidR="005E43EF" w:rsidRPr="00B50F3D" w14:paraId="76EB51EF" w14:textId="77777777" w:rsidTr="005E43EF">
        <w:tc>
          <w:tcPr>
            <w:tcW w:w="2688" w:type="dxa"/>
          </w:tcPr>
          <w:p w14:paraId="000EE89C"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H</w:t>
            </w:r>
            <w:r w:rsidR="006E4043" w:rsidRPr="00042983">
              <w:rPr>
                <w:rFonts w:cs="Tahoma"/>
              </w:rPr>
              <w:t>UP</w:t>
            </w:r>
          </w:p>
        </w:tc>
        <w:tc>
          <w:tcPr>
            <w:tcW w:w="6372" w:type="dxa"/>
          </w:tcPr>
          <w:p w14:paraId="56FE5AB9" w14:textId="77777777" w:rsidR="005E43EF" w:rsidRPr="00042983" w:rsidRDefault="006E4043" w:rsidP="005E43EF">
            <w:pPr>
              <w:overflowPunct w:val="0"/>
              <w:autoSpaceDE w:val="0"/>
              <w:autoSpaceDN w:val="0"/>
              <w:adjustRightInd w:val="0"/>
              <w:textAlignment w:val="baseline"/>
              <w:rPr>
                <w:rFonts w:cs="Tahoma"/>
              </w:rPr>
            </w:pPr>
            <w:r w:rsidRPr="00042983">
              <w:rPr>
                <w:rFonts w:cs="Tahoma"/>
              </w:rPr>
              <w:t>Hlavní uzávěr plynu</w:t>
            </w:r>
          </w:p>
        </w:tc>
      </w:tr>
      <w:tr w:rsidR="005E43EF" w:rsidRPr="00B50F3D" w14:paraId="0CF01FD1" w14:textId="77777777" w:rsidTr="005E43EF">
        <w:tc>
          <w:tcPr>
            <w:tcW w:w="2688" w:type="dxa"/>
          </w:tcPr>
          <w:p w14:paraId="3CB3266D"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CHOPAV</w:t>
            </w:r>
          </w:p>
        </w:tc>
        <w:tc>
          <w:tcPr>
            <w:tcW w:w="6372" w:type="dxa"/>
          </w:tcPr>
          <w:p w14:paraId="3FD5ECF4" w14:textId="5913AFF3" w:rsidR="005E43EF" w:rsidRPr="00042983" w:rsidRDefault="003E0DC6" w:rsidP="005E43EF">
            <w:pPr>
              <w:overflowPunct w:val="0"/>
              <w:autoSpaceDE w:val="0"/>
              <w:autoSpaceDN w:val="0"/>
              <w:adjustRightInd w:val="0"/>
              <w:textAlignment w:val="baseline"/>
              <w:rPr>
                <w:rFonts w:cs="Tahoma"/>
              </w:rPr>
            </w:pPr>
            <w:r>
              <w:rPr>
                <w:rFonts w:cs="Tahoma"/>
              </w:rPr>
              <w:t>C</w:t>
            </w:r>
            <w:r w:rsidR="005E43EF" w:rsidRPr="00042983">
              <w:rPr>
                <w:rFonts w:cs="Tahoma"/>
              </w:rPr>
              <w:t>hráněná oblast přirozené akumulace vod</w:t>
            </w:r>
          </w:p>
        </w:tc>
      </w:tr>
      <w:tr w:rsidR="005E43EF" w:rsidRPr="00B50F3D" w14:paraId="0AC731F6" w14:textId="77777777" w:rsidTr="005E43EF">
        <w:tc>
          <w:tcPr>
            <w:tcW w:w="2688" w:type="dxa"/>
          </w:tcPr>
          <w:p w14:paraId="730139DD"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N</w:t>
            </w:r>
          </w:p>
        </w:tc>
        <w:tc>
          <w:tcPr>
            <w:tcW w:w="6372" w:type="dxa"/>
          </w:tcPr>
          <w:p w14:paraId="1115C22F" w14:textId="56742309" w:rsidR="005E43EF" w:rsidRPr="00042983" w:rsidRDefault="003E0DC6" w:rsidP="005E43EF">
            <w:pPr>
              <w:overflowPunct w:val="0"/>
              <w:autoSpaceDE w:val="0"/>
              <w:autoSpaceDN w:val="0"/>
              <w:adjustRightInd w:val="0"/>
              <w:textAlignment w:val="baseline"/>
              <w:rPr>
                <w:rFonts w:cs="Tahoma"/>
              </w:rPr>
            </w:pPr>
            <w:r>
              <w:rPr>
                <w:rFonts w:cs="Tahoma"/>
              </w:rPr>
              <w:t>N</w:t>
            </w:r>
            <w:r w:rsidR="005E43EF" w:rsidRPr="00042983">
              <w:rPr>
                <w:rFonts w:cs="Tahoma"/>
              </w:rPr>
              <w:t>ebezpečný</w:t>
            </w:r>
          </w:p>
        </w:tc>
      </w:tr>
      <w:tr w:rsidR="006E4043" w:rsidRPr="00B50F3D" w14:paraId="463AEC83" w14:textId="77777777" w:rsidTr="005E43EF">
        <w:tc>
          <w:tcPr>
            <w:tcW w:w="2688" w:type="dxa"/>
          </w:tcPr>
          <w:p w14:paraId="16D45647" w14:textId="77777777" w:rsidR="006E4043" w:rsidRPr="00042983" w:rsidRDefault="006E4043" w:rsidP="005E43EF">
            <w:pPr>
              <w:overflowPunct w:val="0"/>
              <w:autoSpaceDE w:val="0"/>
              <w:autoSpaceDN w:val="0"/>
              <w:adjustRightInd w:val="0"/>
              <w:textAlignment w:val="baseline"/>
              <w:rPr>
                <w:rFonts w:cs="Tahoma"/>
              </w:rPr>
            </w:pPr>
            <w:r w:rsidRPr="00042983">
              <w:rPr>
                <w:rFonts w:cs="Tahoma"/>
              </w:rPr>
              <w:t>NN</w:t>
            </w:r>
          </w:p>
        </w:tc>
        <w:tc>
          <w:tcPr>
            <w:tcW w:w="6372" w:type="dxa"/>
          </w:tcPr>
          <w:p w14:paraId="6AFEA633" w14:textId="77777777" w:rsidR="006E4043" w:rsidRPr="00042983" w:rsidRDefault="006E4043" w:rsidP="005E43EF">
            <w:pPr>
              <w:overflowPunct w:val="0"/>
              <w:autoSpaceDE w:val="0"/>
              <w:autoSpaceDN w:val="0"/>
              <w:adjustRightInd w:val="0"/>
              <w:textAlignment w:val="baseline"/>
              <w:rPr>
                <w:rFonts w:cs="Tahoma"/>
              </w:rPr>
            </w:pPr>
            <w:r w:rsidRPr="00042983">
              <w:rPr>
                <w:rFonts w:cs="Tahoma"/>
              </w:rPr>
              <w:t>Nízké napětí</w:t>
            </w:r>
          </w:p>
        </w:tc>
      </w:tr>
      <w:tr w:rsidR="005E43EF" w:rsidRPr="00B50F3D" w14:paraId="0559106D" w14:textId="77777777" w:rsidTr="005E43EF">
        <w:tc>
          <w:tcPr>
            <w:tcW w:w="2688" w:type="dxa"/>
          </w:tcPr>
          <w:p w14:paraId="5D902C57"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O</w:t>
            </w:r>
          </w:p>
        </w:tc>
        <w:tc>
          <w:tcPr>
            <w:tcW w:w="6372" w:type="dxa"/>
          </w:tcPr>
          <w:p w14:paraId="7F01DBC5" w14:textId="463C8C92" w:rsidR="005E43EF" w:rsidRPr="00042983" w:rsidRDefault="003E0DC6" w:rsidP="005E43EF">
            <w:pPr>
              <w:overflowPunct w:val="0"/>
              <w:autoSpaceDE w:val="0"/>
              <w:autoSpaceDN w:val="0"/>
              <w:adjustRightInd w:val="0"/>
              <w:textAlignment w:val="baseline"/>
              <w:rPr>
                <w:rFonts w:cs="Tahoma"/>
              </w:rPr>
            </w:pPr>
            <w:r>
              <w:rPr>
                <w:rFonts w:cs="Tahoma"/>
              </w:rPr>
              <w:t>O</w:t>
            </w:r>
            <w:r w:rsidR="005E43EF" w:rsidRPr="00042983">
              <w:rPr>
                <w:rFonts w:cs="Tahoma"/>
              </w:rPr>
              <w:t>statní</w:t>
            </w:r>
          </w:p>
        </w:tc>
      </w:tr>
      <w:tr w:rsidR="005E43EF" w:rsidRPr="00B50F3D" w14:paraId="127FC995" w14:textId="77777777" w:rsidTr="005E43EF">
        <w:tc>
          <w:tcPr>
            <w:tcW w:w="2688" w:type="dxa"/>
          </w:tcPr>
          <w:p w14:paraId="44D7E2D0"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P</w:t>
            </w:r>
            <w:r w:rsidR="00664FDB" w:rsidRPr="00042983">
              <w:rPr>
                <w:rFonts w:cs="Tahoma"/>
              </w:rPr>
              <w:t>D</w:t>
            </w:r>
          </w:p>
        </w:tc>
        <w:tc>
          <w:tcPr>
            <w:tcW w:w="6372" w:type="dxa"/>
          </w:tcPr>
          <w:p w14:paraId="29252EC3" w14:textId="77777777" w:rsidR="005E43EF" w:rsidRPr="00042983" w:rsidRDefault="00664FDB" w:rsidP="005E43EF">
            <w:pPr>
              <w:overflowPunct w:val="0"/>
              <w:autoSpaceDE w:val="0"/>
              <w:autoSpaceDN w:val="0"/>
              <w:adjustRightInd w:val="0"/>
              <w:textAlignment w:val="baseline"/>
              <w:rPr>
                <w:rFonts w:cs="Tahoma"/>
              </w:rPr>
            </w:pPr>
            <w:r w:rsidRPr="00042983">
              <w:rPr>
                <w:rFonts w:cs="Tahoma"/>
              </w:rPr>
              <w:t>Projektová dokumentace</w:t>
            </w:r>
          </w:p>
        </w:tc>
      </w:tr>
      <w:tr w:rsidR="005E43EF" w:rsidRPr="00B50F3D" w14:paraId="3E71D96F" w14:textId="77777777" w:rsidTr="005E43EF">
        <w:tc>
          <w:tcPr>
            <w:tcW w:w="2688" w:type="dxa"/>
          </w:tcPr>
          <w:p w14:paraId="4B650B55"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lastRenderedPageBreak/>
              <w:t>S</w:t>
            </w:r>
            <w:r w:rsidR="006E4043" w:rsidRPr="00042983">
              <w:rPr>
                <w:rFonts w:cs="Tahoma"/>
              </w:rPr>
              <w:t>b.</w:t>
            </w:r>
          </w:p>
        </w:tc>
        <w:tc>
          <w:tcPr>
            <w:tcW w:w="6372" w:type="dxa"/>
          </w:tcPr>
          <w:p w14:paraId="7E708A2D" w14:textId="77777777" w:rsidR="005E43EF" w:rsidRPr="00042983" w:rsidRDefault="006E4043" w:rsidP="005E43EF">
            <w:pPr>
              <w:overflowPunct w:val="0"/>
              <w:autoSpaceDE w:val="0"/>
              <w:autoSpaceDN w:val="0"/>
              <w:adjustRightInd w:val="0"/>
              <w:textAlignment w:val="baseline"/>
              <w:rPr>
                <w:rFonts w:cs="Tahoma"/>
              </w:rPr>
            </w:pPr>
            <w:r w:rsidRPr="00042983">
              <w:rPr>
                <w:rFonts w:cs="Tahoma"/>
              </w:rPr>
              <w:t>Sbírka zákonů</w:t>
            </w:r>
          </w:p>
        </w:tc>
      </w:tr>
      <w:tr w:rsidR="005E43EF" w:rsidRPr="00B50F3D" w14:paraId="7CBA0316" w14:textId="77777777" w:rsidTr="005E43EF">
        <w:tc>
          <w:tcPr>
            <w:tcW w:w="2688" w:type="dxa"/>
          </w:tcPr>
          <w:p w14:paraId="30AF3F2F"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SO</w:t>
            </w:r>
          </w:p>
        </w:tc>
        <w:tc>
          <w:tcPr>
            <w:tcW w:w="6372" w:type="dxa"/>
          </w:tcPr>
          <w:p w14:paraId="4E17A8F8" w14:textId="68DB639A" w:rsidR="005E43EF" w:rsidRPr="00042983" w:rsidRDefault="003E0DC6" w:rsidP="005E43EF">
            <w:pPr>
              <w:overflowPunct w:val="0"/>
              <w:autoSpaceDE w:val="0"/>
              <w:autoSpaceDN w:val="0"/>
              <w:adjustRightInd w:val="0"/>
              <w:textAlignment w:val="baseline"/>
              <w:rPr>
                <w:rFonts w:cs="Tahoma"/>
              </w:rPr>
            </w:pPr>
            <w:r>
              <w:rPr>
                <w:rFonts w:cs="Tahoma"/>
              </w:rPr>
              <w:t>S</w:t>
            </w:r>
            <w:r w:rsidR="005E43EF" w:rsidRPr="00042983">
              <w:rPr>
                <w:rFonts w:cs="Tahoma"/>
              </w:rPr>
              <w:t>tavební objekt</w:t>
            </w:r>
          </w:p>
        </w:tc>
      </w:tr>
      <w:tr w:rsidR="005E43EF" w:rsidRPr="00B50F3D" w14:paraId="23F23758" w14:textId="77777777" w:rsidTr="005E43EF">
        <w:tc>
          <w:tcPr>
            <w:tcW w:w="2688" w:type="dxa"/>
          </w:tcPr>
          <w:p w14:paraId="071570C3"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SP</w:t>
            </w:r>
          </w:p>
        </w:tc>
        <w:tc>
          <w:tcPr>
            <w:tcW w:w="6372" w:type="dxa"/>
          </w:tcPr>
          <w:p w14:paraId="5C938F6D" w14:textId="7813A9CA" w:rsidR="005E43EF" w:rsidRPr="00042983" w:rsidRDefault="003E0DC6" w:rsidP="005E43EF">
            <w:pPr>
              <w:overflowPunct w:val="0"/>
              <w:autoSpaceDE w:val="0"/>
              <w:autoSpaceDN w:val="0"/>
              <w:adjustRightInd w:val="0"/>
              <w:textAlignment w:val="baseline"/>
              <w:rPr>
                <w:rFonts w:cs="Tahoma"/>
              </w:rPr>
            </w:pPr>
            <w:r>
              <w:rPr>
                <w:rFonts w:cs="Tahoma"/>
              </w:rPr>
              <w:t>S</w:t>
            </w:r>
            <w:r w:rsidR="005E43EF" w:rsidRPr="00042983">
              <w:rPr>
                <w:rFonts w:cs="Tahoma"/>
              </w:rPr>
              <w:t>tavební povolení</w:t>
            </w:r>
          </w:p>
        </w:tc>
      </w:tr>
      <w:tr w:rsidR="005E43EF" w:rsidRPr="00B50F3D" w14:paraId="6F4AD05B" w14:textId="77777777" w:rsidTr="005E43EF">
        <w:tc>
          <w:tcPr>
            <w:tcW w:w="2688" w:type="dxa"/>
          </w:tcPr>
          <w:p w14:paraId="1E41F048"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ZEVO</w:t>
            </w:r>
          </w:p>
        </w:tc>
        <w:tc>
          <w:tcPr>
            <w:tcW w:w="6372" w:type="dxa"/>
          </w:tcPr>
          <w:p w14:paraId="62ABAE4E" w14:textId="77777777" w:rsidR="005E43EF" w:rsidRPr="00042983" w:rsidRDefault="005E43EF" w:rsidP="005E43EF">
            <w:pPr>
              <w:overflowPunct w:val="0"/>
              <w:autoSpaceDE w:val="0"/>
              <w:autoSpaceDN w:val="0"/>
              <w:adjustRightInd w:val="0"/>
              <w:textAlignment w:val="baseline"/>
              <w:rPr>
                <w:rFonts w:cs="Tahoma"/>
              </w:rPr>
            </w:pPr>
            <w:r w:rsidRPr="00042983">
              <w:rPr>
                <w:rFonts w:cs="Tahoma"/>
              </w:rPr>
              <w:t>Zařízení pro energetické využití odpadů</w:t>
            </w:r>
          </w:p>
        </w:tc>
      </w:tr>
    </w:tbl>
    <w:p w14:paraId="24283416" w14:textId="77777777" w:rsidR="005E43EF" w:rsidRDefault="005E43EF" w:rsidP="00B66F3D">
      <w:pPr>
        <w:pStyle w:val="Normlntenzabezmezer"/>
      </w:pPr>
    </w:p>
    <w:sectPr w:rsidR="005E43EF" w:rsidSect="00410798">
      <w:footerReference w:type="default" r:id="rId9"/>
      <w:headerReference w:type="first" r:id="rId10"/>
      <w:footerReference w:type="first" r:id="rId11"/>
      <w:pgSz w:w="11906" w:h="16838" w:code="9"/>
      <w:pgMar w:top="1236" w:right="1418" w:bottom="1418" w:left="1418" w:header="567"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60BF3" w14:textId="77777777" w:rsidR="0066101D" w:rsidRDefault="0066101D" w:rsidP="00887574">
      <w:pPr>
        <w:spacing w:after="0" w:line="240" w:lineRule="auto"/>
      </w:pPr>
      <w:r>
        <w:separator/>
      </w:r>
    </w:p>
  </w:endnote>
  <w:endnote w:type="continuationSeparator" w:id="0">
    <w:p w14:paraId="14430F34" w14:textId="77777777" w:rsidR="0066101D" w:rsidRDefault="0066101D" w:rsidP="00887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3584958"/>
      <w:docPartObj>
        <w:docPartGallery w:val="Page Numbers (Bottom of Page)"/>
        <w:docPartUnique/>
      </w:docPartObj>
    </w:sdtPr>
    <w:sdtEndPr/>
    <w:sdtContent>
      <w:p w14:paraId="19DD5F19" w14:textId="77777777" w:rsidR="0066101D" w:rsidRDefault="0066101D">
        <w:pPr>
          <w:pStyle w:val="Zpat"/>
          <w:jc w:val="center"/>
        </w:pPr>
        <w:r>
          <w:fldChar w:fldCharType="begin"/>
        </w:r>
        <w:r>
          <w:instrText>PAGE   \* MERGEFORMAT</w:instrText>
        </w:r>
        <w:r>
          <w:fldChar w:fldCharType="separate"/>
        </w:r>
        <w:r>
          <w:rPr>
            <w:noProof/>
          </w:rPr>
          <w:t>14</w:t>
        </w:r>
        <w:r>
          <w:rPr>
            <w:noProof/>
          </w:rPr>
          <w:fldChar w:fldCharType="end"/>
        </w:r>
      </w:p>
    </w:sdtContent>
  </w:sdt>
  <w:p w14:paraId="5C95F375" w14:textId="77777777" w:rsidR="0066101D" w:rsidRDefault="006610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48"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85"/>
      <w:gridCol w:w="1842"/>
      <w:gridCol w:w="1134"/>
      <w:gridCol w:w="1843"/>
      <w:gridCol w:w="1276"/>
      <w:gridCol w:w="2268"/>
    </w:tblGrid>
    <w:tr w:rsidR="0066101D" w:rsidRPr="00524CC7" w14:paraId="4048B4F7" w14:textId="77777777" w:rsidTr="00665D6D">
      <w:trPr>
        <w:trHeight w:val="284"/>
      </w:trPr>
      <w:tc>
        <w:tcPr>
          <w:tcW w:w="985" w:type="dxa"/>
          <w:tcBorders>
            <w:top w:val="single" w:sz="6" w:space="0" w:color="auto"/>
            <w:bottom w:val="single" w:sz="6" w:space="0" w:color="auto"/>
          </w:tcBorders>
          <w:vAlign w:val="center"/>
        </w:tcPr>
        <w:p w14:paraId="652EE0A3" w14:textId="77777777" w:rsidR="0066101D" w:rsidRPr="00524CC7" w:rsidRDefault="0066101D" w:rsidP="00410798">
          <w:pPr>
            <w:spacing w:after="0" w:line="240" w:lineRule="auto"/>
            <w:rPr>
              <w:noProof/>
              <w:sz w:val="16"/>
              <w:szCs w:val="16"/>
              <w:lang w:eastAsia="cs-CZ"/>
            </w:rPr>
          </w:pPr>
          <w:r>
            <w:rPr>
              <w:noProof/>
              <w:sz w:val="16"/>
              <w:lang w:eastAsia="cs-CZ"/>
            </w:rPr>
            <w:t>Vypracoval:</w:t>
          </w:r>
        </w:p>
      </w:tc>
      <w:tc>
        <w:tcPr>
          <w:tcW w:w="1842" w:type="dxa"/>
          <w:tcBorders>
            <w:top w:val="single" w:sz="6" w:space="0" w:color="auto"/>
            <w:bottom w:val="single" w:sz="6" w:space="0" w:color="auto"/>
          </w:tcBorders>
          <w:vAlign w:val="center"/>
        </w:tcPr>
        <w:p w14:paraId="526CCC98" w14:textId="77777777" w:rsidR="0066101D" w:rsidRPr="00524CC7" w:rsidRDefault="0066101D" w:rsidP="00B731DC">
          <w:pPr>
            <w:spacing w:after="0" w:line="240" w:lineRule="auto"/>
            <w:rPr>
              <w:noProof/>
              <w:sz w:val="16"/>
              <w:szCs w:val="16"/>
              <w:lang w:eastAsia="cs-CZ"/>
            </w:rPr>
          </w:pPr>
          <w:r>
            <w:rPr>
              <w:noProof/>
              <w:sz w:val="16"/>
              <w:lang w:eastAsia="cs-CZ"/>
            </w:rPr>
            <w:t xml:space="preserve">Milena Venglářová </w:t>
          </w:r>
        </w:p>
      </w:tc>
      <w:tc>
        <w:tcPr>
          <w:tcW w:w="1134" w:type="dxa"/>
          <w:tcBorders>
            <w:top w:val="single" w:sz="6" w:space="0" w:color="auto"/>
            <w:bottom w:val="single" w:sz="6" w:space="0" w:color="auto"/>
          </w:tcBorders>
          <w:vAlign w:val="center"/>
        </w:tcPr>
        <w:p w14:paraId="32F1B4F7" w14:textId="77777777" w:rsidR="0066101D" w:rsidRPr="00524CC7" w:rsidRDefault="0066101D" w:rsidP="00410798">
          <w:pPr>
            <w:spacing w:after="0" w:line="240" w:lineRule="auto"/>
            <w:rPr>
              <w:noProof/>
              <w:sz w:val="16"/>
              <w:szCs w:val="16"/>
              <w:lang w:eastAsia="cs-CZ"/>
            </w:rPr>
          </w:pPr>
          <w:r>
            <w:rPr>
              <w:noProof/>
              <w:sz w:val="16"/>
              <w:lang w:eastAsia="cs-CZ"/>
            </w:rPr>
            <w:t>Kontroloval:</w:t>
          </w:r>
        </w:p>
      </w:tc>
      <w:tc>
        <w:tcPr>
          <w:tcW w:w="1843" w:type="dxa"/>
          <w:tcBorders>
            <w:top w:val="single" w:sz="6" w:space="0" w:color="auto"/>
            <w:bottom w:val="single" w:sz="6" w:space="0" w:color="auto"/>
            <w:right w:val="single" w:sz="4" w:space="0" w:color="auto"/>
          </w:tcBorders>
          <w:vAlign w:val="center"/>
        </w:tcPr>
        <w:p w14:paraId="7DB84816" w14:textId="77777777" w:rsidR="0066101D" w:rsidRPr="00524CC7" w:rsidRDefault="0066101D" w:rsidP="00790D44">
          <w:pPr>
            <w:spacing w:after="0" w:line="240" w:lineRule="auto"/>
            <w:rPr>
              <w:noProof/>
              <w:sz w:val="16"/>
              <w:szCs w:val="16"/>
              <w:lang w:eastAsia="cs-CZ"/>
            </w:rPr>
          </w:pPr>
          <w:r w:rsidRPr="00524CC7">
            <w:rPr>
              <w:noProof/>
              <w:sz w:val="16"/>
              <w:szCs w:val="16"/>
              <w:lang w:eastAsia="cs-CZ"/>
            </w:rPr>
            <w:t xml:space="preserve">Ing. </w:t>
          </w:r>
          <w:r>
            <w:rPr>
              <w:noProof/>
              <w:sz w:val="16"/>
              <w:szCs w:val="16"/>
              <w:lang w:eastAsia="cs-CZ"/>
            </w:rPr>
            <w:t xml:space="preserve">Josef Koštoval </w:t>
          </w:r>
        </w:p>
      </w:tc>
      <w:tc>
        <w:tcPr>
          <w:tcW w:w="1276" w:type="dxa"/>
          <w:tcBorders>
            <w:top w:val="single" w:sz="6" w:space="0" w:color="auto"/>
            <w:bottom w:val="single" w:sz="6" w:space="0" w:color="auto"/>
            <w:right w:val="single" w:sz="4" w:space="0" w:color="auto"/>
          </w:tcBorders>
          <w:vAlign w:val="center"/>
        </w:tcPr>
        <w:p w14:paraId="21B26476" w14:textId="77777777" w:rsidR="0066101D" w:rsidRPr="00524CC7" w:rsidRDefault="0066101D" w:rsidP="00410798">
          <w:pPr>
            <w:spacing w:after="0" w:line="240" w:lineRule="auto"/>
            <w:rPr>
              <w:noProof/>
              <w:sz w:val="16"/>
              <w:szCs w:val="16"/>
              <w:lang w:eastAsia="cs-CZ"/>
            </w:rPr>
          </w:pPr>
          <w:r>
            <w:rPr>
              <w:noProof/>
              <w:sz w:val="16"/>
              <w:lang w:eastAsia="cs-CZ"/>
            </w:rPr>
            <w:t>HIP:</w:t>
          </w:r>
        </w:p>
      </w:tc>
      <w:tc>
        <w:tcPr>
          <w:tcW w:w="2268" w:type="dxa"/>
          <w:tcBorders>
            <w:top w:val="single" w:sz="6" w:space="0" w:color="auto"/>
            <w:bottom w:val="single" w:sz="6" w:space="0" w:color="auto"/>
            <w:right w:val="single" w:sz="4" w:space="0" w:color="auto"/>
          </w:tcBorders>
          <w:vAlign w:val="center"/>
        </w:tcPr>
        <w:p w14:paraId="53C4CF12" w14:textId="77777777" w:rsidR="0066101D" w:rsidRPr="00524CC7" w:rsidRDefault="0066101D" w:rsidP="00881387">
          <w:pPr>
            <w:spacing w:after="0" w:line="240" w:lineRule="auto"/>
            <w:rPr>
              <w:noProof/>
              <w:sz w:val="16"/>
              <w:szCs w:val="16"/>
              <w:lang w:eastAsia="cs-CZ"/>
            </w:rPr>
          </w:pPr>
          <w:r w:rsidRPr="00524CC7">
            <w:rPr>
              <w:noProof/>
              <w:sz w:val="16"/>
              <w:szCs w:val="16"/>
              <w:lang w:eastAsia="cs-CZ"/>
            </w:rPr>
            <w:t xml:space="preserve">Ing. </w:t>
          </w:r>
          <w:r>
            <w:rPr>
              <w:noProof/>
              <w:sz w:val="16"/>
              <w:szCs w:val="16"/>
              <w:lang w:eastAsia="cs-CZ"/>
            </w:rPr>
            <w:t xml:space="preserve">Přemysl Kól PhD </w:t>
          </w:r>
        </w:p>
      </w:tc>
    </w:tr>
    <w:tr w:rsidR="0066101D" w:rsidRPr="00524CC7" w14:paraId="0AF6CAED" w14:textId="77777777" w:rsidTr="00665D6D">
      <w:trPr>
        <w:trHeight w:val="284"/>
      </w:trPr>
      <w:tc>
        <w:tcPr>
          <w:tcW w:w="985" w:type="dxa"/>
          <w:tcBorders>
            <w:top w:val="single" w:sz="6" w:space="0" w:color="auto"/>
            <w:bottom w:val="single" w:sz="18" w:space="0" w:color="auto"/>
          </w:tcBorders>
          <w:vAlign w:val="center"/>
        </w:tcPr>
        <w:p w14:paraId="40532FE3" w14:textId="77777777" w:rsidR="0066101D" w:rsidRPr="00524CC7" w:rsidRDefault="0066101D" w:rsidP="00410798">
          <w:pPr>
            <w:spacing w:after="0" w:line="240" w:lineRule="auto"/>
            <w:rPr>
              <w:noProof/>
              <w:sz w:val="16"/>
              <w:szCs w:val="16"/>
              <w:lang w:eastAsia="cs-CZ"/>
            </w:rPr>
          </w:pPr>
          <w:r w:rsidRPr="00524CC7">
            <w:rPr>
              <w:noProof/>
              <w:sz w:val="16"/>
              <w:szCs w:val="16"/>
              <w:lang w:eastAsia="cs-CZ"/>
            </w:rPr>
            <w:t>Datum</w:t>
          </w:r>
          <w:r>
            <w:rPr>
              <w:noProof/>
              <w:sz w:val="16"/>
              <w:szCs w:val="16"/>
              <w:lang w:eastAsia="cs-CZ"/>
            </w:rPr>
            <w:t>:</w:t>
          </w:r>
        </w:p>
      </w:tc>
      <w:tc>
        <w:tcPr>
          <w:tcW w:w="1842" w:type="dxa"/>
          <w:tcBorders>
            <w:top w:val="single" w:sz="6" w:space="0" w:color="auto"/>
            <w:bottom w:val="single" w:sz="18" w:space="0" w:color="auto"/>
          </w:tcBorders>
          <w:vAlign w:val="center"/>
        </w:tcPr>
        <w:p w14:paraId="5260EE3B" w14:textId="77777777" w:rsidR="0066101D" w:rsidRPr="00524CC7" w:rsidRDefault="0066101D" w:rsidP="00BF7539">
          <w:pPr>
            <w:spacing w:after="0" w:line="240" w:lineRule="auto"/>
            <w:rPr>
              <w:noProof/>
              <w:sz w:val="16"/>
              <w:szCs w:val="16"/>
              <w:lang w:eastAsia="cs-CZ"/>
            </w:rPr>
          </w:pPr>
          <w:r>
            <w:rPr>
              <w:noProof/>
              <w:sz w:val="16"/>
              <w:szCs w:val="16"/>
              <w:lang w:eastAsia="cs-CZ"/>
            </w:rPr>
            <w:t>02/2020</w:t>
          </w:r>
        </w:p>
      </w:tc>
      <w:tc>
        <w:tcPr>
          <w:tcW w:w="1134" w:type="dxa"/>
          <w:tcBorders>
            <w:top w:val="single" w:sz="6" w:space="0" w:color="auto"/>
            <w:bottom w:val="single" w:sz="18" w:space="0" w:color="auto"/>
          </w:tcBorders>
          <w:vAlign w:val="center"/>
        </w:tcPr>
        <w:p w14:paraId="6BA0344F" w14:textId="77777777" w:rsidR="0066101D" w:rsidRPr="00524CC7" w:rsidRDefault="0066101D" w:rsidP="00410798">
          <w:pPr>
            <w:spacing w:after="0" w:line="240" w:lineRule="auto"/>
            <w:rPr>
              <w:noProof/>
              <w:sz w:val="16"/>
              <w:szCs w:val="16"/>
              <w:lang w:eastAsia="cs-CZ"/>
            </w:rPr>
          </w:pPr>
          <w:r w:rsidRPr="00524CC7">
            <w:rPr>
              <w:noProof/>
              <w:sz w:val="16"/>
              <w:szCs w:val="16"/>
              <w:lang w:eastAsia="cs-CZ"/>
            </w:rPr>
            <w:t>Stupeň dok.</w:t>
          </w:r>
          <w:r>
            <w:rPr>
              <w:noProof/>
              <w:sz w:val="16"/>
              <w:szCs w:val="16"/>
              <w:lang w:eastAsia="cs-CZ"/>
            </w:rPr>
            <w:t>:</w:t>
          </w:r>
        </w:p>
      </w:tc>
      <w:tc>
        <w:tcPr>
          <w:tcW w:w="1843" w:type="dxa"/>
          <w:tcBorders>
            <w:top w:val="single" w:sz="6" w:space="0" w:color="auto"/>
            <w:bottom w:val="single" w:sz="18" w:space="0" w:color="auto"/>
            <w:right w:val="single" w:sz="4" w:space="0" w:color="auto"/>
          </w:tcBorders>
          <w:vAlign w:val="center"/>
        </w:tcPr>
        <w:p w14:paraId="7C03A398" w14:textId="77777777" w:rsidR="0066101D" w:rsidRPr="00524CC7" w:rsidRDefault="0066101D" w:rsidP="00B731DC">
          <w:pPr>
            <w:spacing w:after="0" w:line="240" w:lineRule="auto"/>
            <w:rPr>
              <w:noProof/>
              <w:sz w:val="16"/>
              <w:szCs w:val="16"/>
              <w:lang w:eastAsia="cs-CZ"/>
            </w:rPr>
          </w:pPr>
          <w:r w:rsidRPr="00524CC7">
            <w:rPr>
              <w:noProof/>
              <w:sz w:val="16"/>
              <w:szCs w:val="16"/>
              <w:lang w:eastAsia="cs-CZ"/>
            </w:rPr>
            <w:t>D</w:t>
          </w:r>
          <w:r>
            <w:rPr>
              <w:noProof/>
              <w:sz w:val="16"/>
              <w:szCs w:val="16"/>
              <w:lang w:eastAsia="cs-CZ"/>
            </w:rPr>
            <w:t>BP</w:t>
          </w:r>
        </w:p>
      </w:tc>
      <w:tc>
        <w:tcPr>
          <w:tcW w:w="1276" w:type="dxa"/>
          <w:tcBorders>
            <w:top w:val="single" w:sz="6" w:space="0" w:color="auto"/>
            <w:bottom w:val="single" w:sz="18" w:space="0" w:color="auto"/>
            <w:right w:val="single" w:sz="4" w:space="0" w:color="auto"/>
          </w:tcBorders>
          <w:vAlign w:val="center"/>
        </w:tcPr>
        <w:p w14:paraId="32A809D0" w14:textId="77777777" w:rsidR="0066101D" w:rsidRPr="00524CC7" w:rsidRDefault="0066101D" w:rsidP="00410798">
          <w:pPr>
            <w:spacing w:after="0" w:line="240" w:lineRule="auto"/>
            <w:rPr>
              <w:noProof/>
              <w:sz w:val="16"/>
              <w:szCs w:val="16"/>
              <w:lang w:eastAsia="cs-CZ"/>
            </w:rPr>
          </w:pPr>
          <w:r>
            <w:rPr>
              <w:noProof/>
              <w:sz w:val="16"/>
              <w:szCs w:val="16"/>
              <w:lang w:eastAsia="cs-CZ"/>
            </w:rPr>
            <w:t>Číslo zak.:</w:t>
          </w:r>
        </w:p>
      </w:tc>
      <w:tc>
        <w:tcPr>
          <w:tcW w:w="2268" w:type="dxa"/>
          <w:tcBorders>
            <w:top w:val="single" w:sz="6" w:space="0" w:color="auto"/>
            <w:bottom w:val="single" w:sz="18" w:space="0" w:color="auto"/>
            <w:right w:val="single" w:sz="4" w:space="0" w:color="auto"/>
          </w:tcBorders>
          <w:vAlign w:val="center"/>
        </w:tcPr>
        <w:p w14:paraId="738D3352" w14:textId="77777777" w:rsidR="0066101D" w:rsidRPr="00524CC7" w:rsidRDefault="0066101D" w:rsidP="00410798">
          <w:pPr>
            <w:spacing w:after="0" w:line="240" w:lineRule="auto"/>
            <w:rPr>
              <w:noProof/>
              <w:sz w:val="16"/>
              <w:szCs w:val="16"/>
              <w:lang w:eastAsia="cs-CZ"/>
            </w:rPr>
          </w:pPr>
          <w:r>
            <w:rPr>
              <w:noProof/>
              <w:sz w:val="16"/>
              <w:szCs w:val="16"/>
              <w:lang w:eastAsia="cs-CZ"/>
            </w:rPr>
            <w:t>Z19113</w:t>
          </w:r>
        </w:p>
      </w:tc>
    </w:tr>
    <w:tr w:rsidR="0066101D" w:rsidRPr="00524CC7" w14:paraId="4DE17DEE" w14:textId="77777777" w:rsidTr="00665D6D">
      <w:trPr>
        <w:trHeight w:val="284"/>
      </w:trPr>
      <w:tc>
        <w:tcPr>
          <w:tcW w:w="985" w:type="dxa"/>
          <w:tcBorders>
            <w:top w:val="single" w:sz="18" w:space="0" w:color="auto"/>
            <w:left w:val="single" w:sz="18" w:space="0" w:color="auto"/>
            <w:bottom w:val="single" w:sz="18" w:space="0" w:color="auto"/>
          </w:tcBorders>
          <w:vAlign w:val="center"/>
        </w:tcPr>
        <w:p w14:paraId="38D39C92" w14:textId="77777777" w:rsidR="0066101D" w:rsidRPr="00524CC7" w:rsidRDefault="0066101D" w:rsidP="00410798">
          <w:pPr>
            <w:spacing w:after="0" w:line="240" w:lineRule="auto"/>
            <w:rPr>
              <w:noProof/>
              <w:sz w:val="16"/>
              <w:lang w:eastAsia="cs-CZ"/>
            </w:rPr>
          </w:pPr>
          <w:r w:rsidRPr="00524CC7">
            <w:rPr>
              <w:noProof/>
              <w:sz w:val="16"/>
              <w:lang w:eastAsia="cs-CZ"/>
            </w:rPr>
            <w:t>Číslo dok</w:t>
          </w:r>
          <w:r>
            <w:rPr>
              <w:noProof/>
              <w:sz w:val="16"/>
              <w:lang w:eastAsia="cs-CZ"/>
            </w:rPr>
            <w:t>.:</w:t>
          </w:r>
        </w:p>
      </w:tc>
      <w:tc>
        <w:tcPr>
          <w:tcW w:w="1842" w:type="dxa"/>
          <w:tcBorders>
            <w:top w:val="single" w:sz="18" w:space="0" w:color="auto"/>
            <w:bottom w:val="single" w:sz="18" w:space="0" w:color="auto"/>
          </w:tcBorders>
          <w:vAlign w:val="center"/>
        </w:tcPr>
        <w:p w14:paraId="292A68E7" w14:textId="77777777" w:rsidR="0066101D" w:rsidRPr="00524CC7" w:rsidRDefault="0066101D" w:rsidP="00EC01A4">
          <w:pPr>
            <w:spacing w:after="0" w:line="240" w:lineRule="auto"/>
            <w:rPr>
              <w:noProof/>
              <w:sz w:val="16"/>
              <w:lang w:eastAsia="cs-CZ"/>
            </w:rPr>
          </w:pPr>
          <w:r>
            <w:rPr>
              <w:noProof/>
              <w:sz w:val="16"/>
              <w:lang w:eastAsia="cs-CZ"/>
            </w:rPr>
            <w:t>Z</w:t>
          </w:r>
          <w:r w:rsidRPr="00524CC7">
            <w:rPr>
              <w:noProof/>
              <w:sz w:val="16"/>
              <w:lang w:eastAsia="cs-CZ"/>
            </w:rPr>
            <w:t>1</w:t>
          </w:r>
          <w:r>
            <w:rPr>
              <w:noProof/>
              <w:sz w:val="16"/>
              <w:lang w:eastAsia="cs-CZ"/>
            </w:rPr>
            <w:t>9113</w:t>
          </w:r>
          <w:r w:rsidRPr="00524CC7">
            <w:rPr>
              <w:noProof/>
              <w:sz w:val="16"/>
              <w:lang w:eastAsia="cs-CZ"/>
            </w:rPr>
            <w:t>-</w:t>
          </w:r>
          <w:r>
            <w:rPr>
              <w:noProof/>
              <w:sz w:val="16"/>
              <w:lang w:eastAsia="cs-CZ"/>
            </w:rPr>
            <w:t xml:space="preserve">DBP-B-001 </w:t>
          </w:r>
        </w:p>
      </w:tc>
      <w:tc>
        <w:tcPr>
          <w:tcW w:w="1134" w:type="dxa"/>
          <w:tcBorders>
            <w:top w:val="single" w:sz="18" w:space="0" w:color="auto"/>
            <w:bottom w:val="single" w:sz="18" w:space="0" w:color="auto"/>
            <w:right w:val="single" w:sz="4" w:space="0" w:color="auto"/>
          </w:tcBorders>
          <w:vAlign w:val="center"/>
        </w:tcPr>
        <w:p w14:paraId="5B0733EB" w14:textId="77777777" w:rsidR="0066101D" w:rsidRPr="00524CC7" w:rsidRDefault="0066101D" w:rsidP="00410798">
          <w:pPr>
            <w:spacing w:after="0" w:line="240" w:lineRule="auto"/>
            <w:rPr>
              <w:noProof/>
              <w:sz w:val="16"/>
              <w:lang w:eastAsia="cs-CZ"/>
            </w:rPr>
          </w:pPr>
          <w:r w:rsidRPr="00524CC7">
            <w:rPr>
              <w:noProof/>
              <w:sz w:val="16"/>
              <w:lang w:eastAsia="cs-CZ"/>
            </w:rPr>
            <w:t>Revize</w:t>
          </w:r>
        </w:p>
      </w:tc>
      <w:tc>
        <w:tcPr>
          <w:tcW w:w="1843" w:type="dxa"/>
          <w:tcBorders>
            <w:top w:val="single" w:sz="18" w:space="0" w:color="auto"/>
            <w:left w:val="single" w:sz="4" w:space="0" w:color="auto"/>
            <w:bottom w:val="single" w:sz="18" w:space="0" w:color="auto"/>
            <w:right w:val="single" w:sz="4" w:space="0" w:color="auto"/>
          </w:tcBorders>
          <w:vAlign w:val="center"/>
        </w:tcPr>
        <w:p w14:paraId="3E5F9B95" w14:textId="77777777" w:rsidR="0066101D" w:rsidRPr="00524CC7" w:rsidRDefault="0066101D" w:rsidP="00410798">
          <w:pPr>
            <w:spacing w:after="0" w:line="240" w:lineRule="auto"/>
            <w:rPr>
              <w:bCs/>
              <w:noProof/>
              <w:sz w:val="16"/>
              <w:lang w:eastAsia="cs-CZ"/>
            </w:rPr>
          </w:pPr>
          <w:r>
            <w:rPr>
              <w:bCs/>
              <w:noProof/>
              <w:sz w:val="16"/>
              <w:lang w:eastAsia="cs-CZ"/>
            </w:rPr>
            <w:t>-</w:t>
          </w:r>
        </w:p>
      </w:tc>
      <w:tc>
        <w:tcPr>
          <w:tcW w:w="1276" w:type="dxa"/>
          <w:tcBorders>
            <w:top w:val="single" w:sz="18" w:space="0" w:color="auto"/>
            <w:left w:val="single" w:sz="4" w:space="0" w:color="auto"/>
            <w:bottom w:val="single" w:sz="18" w:space="0" w:color="auto"/>
            <w:right w:val="single" w:sz="4" w:space="0" w:color="auto"/>
          </w:tcBorders>
          <w:vAlign w:val="center"/>
        </w:tcPr>
        <w:p w14:paraId="74E07B77" w14:textId="77777777" w:rsidR="0066101D" w:rsidRPr="00524CC7" w:rsidRDefault="0066101D" w:rsidP="00410798">
          <w:pPr>
            <w:spacing w:after="0" w:line="240" w:lineRule="auto"/>
            <w:rPr>
              <w:bCs/>
              <w:noProof/>
              <w:sz w:val="16"/>
              <w:lang w:eastAsia="cs-CZ"/>
            </w:rPr>
          </w:pPr>
          <w:r w:rsidRPr="00524CC7">
            <w:rPr>
              <w:bCs/>
              <w:noProof/>
              <w:sz w:val="16"/>
              <w:lang w:eastAsia="cs-CZ"/>
            </w:rPr>
            <w:t>Str</w:t>
          </w:r>
          <w:r>
            <w:rPr>
              <w:bCs/>
              <w:noProof/>
              <w:sz w:val="16"/>
              <w:lang w:eastAsia="cs-CZ"/>
            </w:rPr>
            <w:t>.</w:t>
          </w:r>
          <w:r w:rsidRPr="00524CC7">
            <w:rPr>
              <w:bCs/>
              <w:noProof/>
              <w:sz w:val="16"/>
              <w:lang w:eastAsia="cs-CZ"/>
            </w:rPr>
            <w:t>/poč</w:t>
          </w:r>
          <w:r>
            <w:rPr>
              <w:bCs/>
              <w:noProof/>
              <w:sz w:val="16"/>
              <w:lang w:eastAsia="cs-CZ"/>
            </w:rPr>
            <w:t>.</w:t>
          </w:r>
          <w:r w:rsidRPr="00524CC7">
            <w:rPr>
              <w:bCs/>
              <w:noProof/>
              <w:sz w:val="16"/>
              <w:lang w:eastAsia="cs-CZ"/>
            </w:rPr>
            <w:t xml:space="preserve"> str</w:t>
          </w:r>
          <w:r>
            <w:rPr>
              <w:bCs/>
              <w:noProof/>
              <w:sz w:val="16"/>
              <w:lang w:eastAsia="cs-CZ"/>
            </w:rPr>
            <w:t>an:</w:t>
          </w:r>
        </w:p>
      </w:tc>
      <w:tc>
        <w:tcPr>
          <w:tcW w:w="2268" w:type="dxa"/>
          <w:tcBorders>
            <w:top w:val="single" w:sz="18" w:space="0" w:color="auto"/>
            <w:left w:val="single" w:sz="4" w:space="0" w:color="auto"/>
            <w:bottom w:val="single" w:sz="18" w:space="0" w:color="auto"/>
            <w:right w:val="single" w:sz="18" w:space="0" w:color="auto"/>
          </w:tcBorders>
          <w:vAlign w:val="center"/>
        </w:tcPr>
        <w:p w14:paraId="62ED8A5A" w14:textId="77777777" w:rsidR="0066101D" w:rsidRPr="00524CC7" w:rsidRDefault="0066101D" w:rsidP="00410798">
          <w:pPr>
            <w:spacing w:after="0" w:line="240" w:lineRule="auto"/>
            <w:jc w:val="right"/>
            <w:rPr>
              <w:bCs/>
              <w:noProof/>
              <w:sz w:val="16"/>
              <w:lang w:eastAsia="cs-CZ"/>
            </w:rPr>
          </w:pPr>
          <w:r w:rsidRPr="00524CC7">
            <w:rPr>
              <w:noProof/>
              <w:sz w:val="16"/>
              <w:lang w:eastAsia="cs-CZ"/>
            </w:rPr>
            <w:fldChar w:fldCharType="begin"/>
          </w:r>
          <w:r w:rsidRPr="00524CC7">
            <w:rPr>
              <w:noProof/>
              <w:sz w:val="16"/>
              <w:lang w:eastAsia="cs-CZ"/>
            </w:rPr>
            <w:instrText xml:space="preserve"> PAGE </w:instrText>
          </w:r>
          <w:r w:rsidRPr="00524CC7">
            <w:rPr>
              <w:noProof/>
              <w:sz w:val="16"/>
              <w:lang w:eastAsia="cs-CZ"/>
            </w:rPr>
            <w:fldChar w:fldCharType="separate"/>
          </w:r>
          <w:r>
            <w:rPr>
              <w:noProof/>
              <w:sz w:val="16"/>
              <w:lang w:eastAsia="cs-CZ"/>
            </w:rPr>
            <w:t>1</w:t>
          </w:r>
          <w:r w:rsidRPr="00524CC7">
            <w:rPr>
              <w:noProof/>
              <w:sz w:val="16"/>
              <w:lang w:eastAsia="cs-CZ"/>
            </w:rPr>
            <w:fldChar w:fldCharType="end"/>
          </w:r>
          <w:r w:rsidRPr="00524CC7">
            <w:rPr>
              <w:noProof/>
              <w:sz w:val="16"/>
              <w:lang w:eastAsia="cs-CZ"/>
            </w:rPr>
            <w:t>/</w:t>
          </w:r>
          <w:r w:rsidRPr="00524CC7">
            <w:rPr>
              <w:noProof/>
              <w:sz w:val="16"/>
              <w:lang w:eastAsia="cs-CZ"/>
            </w:rPr>
            <w:fldChar w:fldCharType="begin"/>
          </w:r>
          <w:r w:rsidRPr="00524CC7">
            <w:rPr>
              <w:noProof/>
              <w:sz w:val="16"/>
              <w:lang w:eastAsia="cs-CZ"/>
            </w:rPr>
            <w:instrText xml:space="preserve"> NUMPAGES </w:instrText>
          </w:r>
          <w:r w:rsidRPr="00524CC7">
            <w:rPr>
              <w:noProof/>
              <w:sz w:val="16"/>
              <w:lang w:eastAsia="cs-CZ"/>
            </w:rPr>
            <w:fldChar w:fldCharType="separate"/>
          </w:r>
          <w:r>
            <w:rPr>
              <w:noProof/>
              <w:sz w:val="16"/>
              <w:lang w:eastAsia="cs-CZ"/>
            </w:rPr>
            <w:t>14</w:t>
          </w:r>
          <w:r w:rsidRPr="00524CC7">
            <w:rPr>
              <w:noProof/>
              <w:sz w:val="16"/>
              <w:lang w:eastAsia="cs-CZ"/>
            </w:rPr>
            <w:fldChar w:fldCharType="end"/>
          </w:r>
        </w:p>
      </w:tc>
    </w:tr>
  </w:tbl>
  <w:p w14:paraId="5EA8E821" w14:textId="77777777" w:rsidR="0066101D" w:rsidRDefault="006610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64A3A" w14:textId="77777777" w:rsidR="0066101D" w:rsidRDefault="0066101D" w:rsidP="00887574">
      <w:pPr>
        <w:spacing w:after="0" w:line="240" w:lineRule="auto"/>
      </w:pPr>
      <w:r>
        <w:separator/>
      </w:r>
    </w:p>
  </w:footnote>
  <w:footnote w:type="continuationSeparator" w:id="0">
    <w:p w14:paraId="2DCDA052" w14:textId="77777777" w:rsidR="0066101D" w:rsidRDefault="0066101D" w:rsidP="00887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A5837" w14:textId="77777777" w:rsidR="0066101D" w:rsidRDefault="0066101D" w:rsidP="00410798">
    <w:r>
      <w:rPr>
        <w:noProof/>
        <w:sz w:val="16"/>
        <w:szCs w:val="16"/>
        <w:lang w:eastAsia="cs-CZ"/>
      </w:rPr>
      <w:drawing>
        <wp:anchor distT="0" distB="0" distL="114300" distR="114300" simplePos="0" relativeHeight="251659264" behindDoc="1" locked="0" layoutInCell="1" allowOverlap="1" wp14:anchorId="77C3681C" wp14:editId="1E7DF91A">
          <wp:simplePos x="0" y="0"/>
          <wp:positionH relativeFrom="column">
            <wp:posOffset>-65310</wp:posOffset>
          </wp:positionH>
          <wp:positionV relativeFrom="paragraph">
            <wp:posOffset>209550</wp:posOffset>
          </wp:positionV>
          <wp:extent cx="1340285" cy="547868"/>
          <wp:effectExtent l="0" t="0" r="0" b="5080"/>
          <wp:wrapNone/>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1340285" cy="547868"/>
                  </a:xfrm>
                  <a:prstGeom prst="rect">
                    <a:avLst/>
                  </a:prstGeom>
                  <a:noFill/>
                  <a:ln w="9525">
                    <a:noFill/>
                    <a:miter lim="800000"/>
                    <a:headEnd/>
                    <a:tailEnd/>
                  </a:ln>
                </pic:spPr>
              </pic:pic>
            </a:graphicData>
          </a:graphic>
        </wp:anchor>
      </w:drawing>
    </w:r>
  </w:p>
  <w:tbl>
    <w:tblPr>
      <w:tblStyle w:val="Mkatabulky"/>
      <w:tblW w:w="9209" w:type="dxa"/>
      <w:tblBorders>
        <w:top w:val="none" w:sz="0" w:space="0" w:color="auto"/>
        <w:left w:val="none" w:sz="0" w:space="0" w:color="auto"/>
        <w:bottom w:val="single" w:sz="4" w:space="0" w:color="000000"/>
        <w:right w:val="none" w:sz="0" w:space="0" w:color="auto"/>
        <w:insideH w:val="none" w:sz="0" w:space="0" w:color="auto"/>
        <w:insideV w:val="none" w:sz="0" w:space="0" w:color="auto"/>
      </w:tblBorders>
      <w:tblLook w:val="04A0" w:firstRow="1" w:lastRow="0" w:firstColumn="1" w:lastColumn="0" w:noHBand="0" w:noVBand="1"/>
    </w:tblPr>
    <w:tblGrid>
      <w:gridCol w:w="3020"/>
      <w:gridCol w:w="4635"/>
      <w:gridCol w:w="1554"/>
    </w:tblGrid>
    <w:tr w:rsidR="0066101D" w14:paraId="57DB8D8A" w14:textId="77777777" w:rsidTr="00665D6D">
      <w:tc>
        <w:tcPr>
          <w:tcW w:w="3020" w:type="dxa"/>
        </w:tcPr>
        <w:p w14:paraId="0976F9CB" w14:textId="77777777" w:rsidR="0066101D" w:rsidRDefault="0066101D" w:rsidP="00410798">
          <w:pPr>
            <w:pStyle w:val="Zhlav"/>
          </w:pPr>
          <w:bookmarkStart w:id="49" w:name="_Hlk27388092"/>
        </w:p>
        <w:p w14:paraId="3459A2FC" w14:textId="77777777" w:rsidR="0066101D" w:rsidRPr="00872B35" w:rsidRDefault="0066101D" w:rsidP="00410798">
          <w:pPr>
            <w:ind w:firstLine="708"/>
          </w:pPr>
        </w:p>
      </w:tc>
      <w:tc>
        <w:tcPr>
          <w:tcW w:w="4635" w:type="dxa"/>
        </w:tcPr>
        <w:p w14:paraId="6DCE66E6" w14:textId="77777777" w:rsidR="0066101D" w:rsidRDefault="0066101D" w:rsidP="00410798">
          <w:pPr>
            <w:pStyle w:val="Zhlav"/>
          </w:pPr>
        </w:p>
      </w:tc>
      <w:tc>
        <w:tcPr>
          <w:tcW w:w="1554" w:type="dxa"/>
          <w:vAlign w:val="center"/>
        </w:tcPr>
        <w:p w14:paraId="224E7F17" w14:textId="77777777" w:rsidR="0066101D" w:rsidRPr="003C217B" w:rsidRDefault="0066101D" w:rsidP="00410798">
          <w:pPr>
            <w:ind w:right="-215"/>
            <w:rPr>
              <w:rFonts w:cs="Arial"/>
              <w:b/>
              <w:noProof/>
              <w:sz w:val="12"/>
              <w:szCs w:val="12"/>
            </w:rPr>
          </w:pPr>
          <w:r w:rsidRPr="003C217B">
            <w:rPr>
              <w:rFonts w:cs="Arial"/>
              <w:b/>
              <w:noProof/>
              <w:sz w:val="12"/>
              <w:szCs w:val="12"/>
            </w:rPr>
            <w:t>TENZA, a.s.</w:t>
          </w:r>
        </w:p>
        <w:p w14:paraId="386E60CF" w14:textId="77777777" w:rsidR="0066101D" w:rsidRPr="003C217B" w:rsidRDefault="0066101D" w:rsidP="00410798">
          <w:pPr>
            <w:ind w:right="-215"/>
            <w:rPr>
              <w:rFonts w:cs="Arial"/>
              <w:noProof/>
              <w:sz w:val="12"/>
              <w:szCs w:val="12"/>
            </w:rPr>
          </w:pPr>
          <w:r w:rsidRPr="003C217B">
            <w:rPr>
              <w:rFonts w:cs="Arial"/>
              <w:noProof/>
              <w:sz w:val="12"/>
              <w:szCs w:val="12"/>
            </w:rPr>
            <w:t>Svatopetrská 35/7</w:t>
          </w:r>
        </w:p>
        <w:p w14:paraId="7D84BBAA" w14:textId="77777777" w:rsidR="0066101D" w:rsidRPr="003C217B" w:rsidRDefault="0066101D" w:rsidP="00410798">
          <w:pPr>
            <w:pStyle w:val="Zhlav"/>
            <w:rPr>
              <w:rFonts w:cs="Arial"/>
              <w:noProof/>
              <w:sz w:val="12"/>
              <w:szCs w:val="12"/>
            </w:rPr>
          </w:pPr>
          <w:r w:rsidRPr="003C217B">
            <w:rPr>
              <w:rFonts w:cs="Arial"/>
              <w:noProof/>
              <w:sz w:val="12"/>
              <w:szCs w:val="12"/>
            </w:rPr>
            <w:t>617 00 Brno</w:t>
          </w:r>
        </w:p>
        <w:p w14:paraId="68205A1F" w14:textId="77777777" w:rsidR="0066101D" w:rsidRPr="003C217B" w:rsidRDefault="0066101D" w:rsidP="00410798">
          <w:pPr>
            <w:ind w:right="-215"/>
            <w:rPr>
              <w:rFonts w:cs="Arial"/>
              <w:noProof/>
              <w:sz w:val="12"/>
              <w:szCs w:val="12"/>
            </w:rPr>
          </w:pPr>
          <w:r w:rsidRPr="003C217B">
            <w:rPr>
              <w:rFonts w:cs="Arial"/>
              <w:noProof/>
              <w:sz w:val="12"/>
              <w:szCs w:val="12"/>
            </w:rPr>
            <w:t>tel.: +420 545 539 339</w:t>
          </w:r>
        </w:p>
        <w:p w14:paraId="3C2E50B9" w14:textId="77777777" w:rsidR="0066101D" w:rsidRPr="003C217B" w:rsidRDefault="0066101D" w:rsidP="00410798">
          <w:pPr>
            <w:pStyle w:val="Zhlav"/>
            <w:rPr>
              <w:rFonts w:cs="Arial"/>
              <w:sz w:val="12"/>
              <w:szCs w:val="12"/>
            </w:rPr>
          </w:pPr>
          <w:r w:rsidRPr="003C217B">
            <w:rPr>
              <w:rFonts w:cs="Arial"/>
              <w:noProof/>
              <w:sz w:val="12"/>
              <w:szCs w:val="12"/>
            </w:rPr>
            <w:t>e-mail: tenza@tenza.cz</w:t>
          </w:r>
        </w:p>
      </w:tc>
    </w:tr>
    <w:bookmarkEnd w:id="49"/>
  </w:tbl>
  <w:p w14:paraId="1CD1DA26" w14:textId="77777777" w:rsidR="0066101D" w:rsidRDefault="0066101D" w:rsidP="004107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61BA7"/>
    <w:multiLevelType w:val="hybridMultilevel"/>
    <w:tmpl w:val="1BEEE3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A3236"/>
    <w:multiLevelType w:val="hybridMultilevel"/>
    <w:tmpl w:val="1FFC5C2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B451F4"/>
    <w:multiLevelType w:val="hybridMultilevel"/>
    <w:tmpl w:val="68306FFC"/>
    <w:lvl w:ilvl="0" w:tplc="04050001">
      <w:start w:val="1"/>
      <w:numFmt w:val="bullet"/>
      <w:lvlText w:val=""/>
      <w:lvlJc w:val="left"/>
      <w:pPr>
        <w:ind w:left="1060" w:hanging="360"/>
      </w:pPr>
      <w:rPr>
        <w:rFonts w:ascii="Symbol" w:hAnsi="Symbol" w:hint="default"/>
      </w:rPr>
    </w:lvl>
    <w:lvl w:ilvl="1" w:tplc="04050003">
      <w:start w:val="1"/>
      <w:numFmt w:val="bullet"/>
      <w:lvlText w:val="o"/>
      <w:lvlJc w:val="left"/>
      <w:pPr>
        <w:ind w:left="1780" w:hanging="360"/>
      </w:pPr>
      <w:rPr>
        <w:rFonts w:ascii="Courier New" w:hAnsi="Courier New" w:cs="Courier New" w:hint="default"/>
      </w:rPr>
    </w:lvl>
    <w:lvl w:ilvl="2" w:tplc="04050005">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1FBE6D7A"/>
    <w:multiLevelType w:val="hybridMultilevel"/>
    <w:tmpl w:val="08A8606E"/>
    <w:lvl w:ilvl="0" w:tplc="195C5A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117A72"/>
    <w:multiLevelType w:val="hybridMultilevel"/>
    <w:tmpl w:val="0F4677B8"/>
    <w:lvl w:ilvl="0" w:tplc="232EF17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3211E9"/>
    <w:multiLevelType w:val="hybridMultilevel"/>
    <w:tmpl w:val="1834FD2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3D2930"/>
    <w:multiLevelType w:val="hybridMultilevel"/>
    <w:tmpl w:val="6430F894"/>
    <w:lvl w:ilvl="0" w:tplc="7AE626A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5017DF9"/>
    <w:multiLevelType w:val="hybridMultilevel"/>
    <w:tmpl w:val="1834FD2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5AB77C3"/>
    <w:multiLevelType w:val="hybridMultilevel"/>
    <w:tmpl w:val="84DC7198"/>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84C5BFC"/>
    <w:multiLevelType w:val="hybridMultilevel"/>
    <w:tmpl w:val="245885F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7534A45"/>
    <w:multiLevelType w:val="hybridMultilevel"/>
    <w:tmpl w:val="A70AB154"/>
    <w:lvl w:ilvl="0" w:tplc="D84A3F7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2A2096"/>
    <w:multiLevelType w:val="hybridMultilevel"/>
    <w:tmpl w:val="9F0E4D0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7738CF"/>
    <w:multiLevelType w:val="hybridMultilevel"/>
    <w:tmpl w:val="5A2A5F04"/>
    <w:lvl w:ilvl="0" w:tplc="B9C690A4">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15:restartNumberingAfterBreak="0">
    <w:nsid w:val="60CE7EC8"/>
    <w:multiLevelType w:val="hybridMultilevel"/>
    <w:tmpl w:val="175A3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2B54C1A"/>
    <w:multiLevelType w:val="hybridMultilevel"/>
    <w:tmpl w:val="B33211D6"/>
    <w:lvl w:ilvl="0" w:tplc="24880136">
      <w:start w:val="1"/>
      <w:numFmt w:val="lowerRoman"/>
      <w:lvlText w:val="%1)"/>
      <w:lvlJc w:val="left"/>
      <w:pPr>
        <w:ind w:left="1080" w:hanging="720"/>
      </w:pPr>
      <w:rPr>
        <w:rFonts w:ascii="Arial" w:eastAsia="Times New Roman" w:hAnsi="Arial" w:cstheme="majorBidi" w:hint="default"/>
        <w:i/>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A002378"/>
    <w:multiLevelType w:val="hybridMultilevel"/>
    <w:tmpl w:val="B54A4DE4"/>
    <w:lvl w:ilvl="0" w:tplc="88F806A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9"/>
  </w:num>
  <w:num w:numId="5">
    <w:abstractNumId w:val="1"/>
  </w:num>
  <w:num w:numId="6">
    <w:abstractNumId w:val="0"/>
  </w:num>
  <w:num w:numId="7">
    <w:abstractNumId w:val="7"/>
  </w:num>
  <w:num w:numId="8">
    <w:abstractNumId w:val="5"/>
  </w:num>
  <w:num w:numId="9">
    <w:abstractNumId w:val="14"/>
  </w:num>
  <w:num w:numId="10">
    <w:abstractNumId w:val="15"/>
  </w:num>
  <w:num w:numId="11">
    <w:abstractNumId w:val="10"/>
  </w:num>
  <w:num w:numId="12">
    <w:abstractNumId w:val="13"/>
  </w:num>
  <w:num w:numId="13">
    <w:abstractNumId w:val="4"/>
  </w:num>
  <w:num w:numId="14">
    <w:abstractNumId w:val="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6577"/>
    <w:rsid w:val="00001FF0"/>
    <w:rsid w:val="00027AC2"/>
    <w:rsid w:val="00027C3C"/>
    <w:rsid w:val="00031CA8"/>
    <w:rsid w:val="00035674"/>
    <w:rsid w:val="00042983"/>
    <w:rsid w:val="0004419C"/>
    <w:rsid w:val="00060EE4"/>
    <w:rsid w:val="00065AF9"/>
    <w:rsid w:val="000671D5"/>
    <w:rsid w:val="00070257"/>
    <w:rsid w:val="000737DC"/>
    <w:rsid w:val="00076CFB"/>
    <w:rsid w:val="00082F3E"/>
    <w:rsid w:val="00092387"/>
    <w:rsid w:val="0009652E"/>
    <w:rsid w:val="0009701D"/>
    <w:rsid w:val="00097165"/>
    <w:rsid w:val="000A4EDF"/>
    <w:rsid w:val="000B02EC"/>
    <w:rsid w:val="000B3DDA"/>
    <w:rsid w:val="000B5036"/>
    <w:rsid w:val="000D727A"/>
    <w:rsid w:val="000E11E9"/>
    <w:rsid w:val="000E2D0F"/>
    <w:rsid w:val="000E306C"/>
    <w:rsid w:val="00117C45"/>
    <w:rsid w:val="00120A08"/>
    <w:rsid w:val="0012575B"/>
    <w:rsid w:val="00126D9A"/>
    <w:rsid w:val="001278FA"/>
    <w:rsid w:val="00135093"/>
    <w:rsid w:val="00137837"/>
    <w:rsid w:val="00140C13"/>
    <w:rsid w:val="00155199"/>
    <w:rsid w:val="001603AA"/>
    <w:rsid w:val="00172DC3"/>
    <w:rsid w:val="001772B1"/>
    <w:rsid w:val="00186330"/>
    <w:rsid w:val="001863C2"/>
    <w:rsid w:val="00190276"/>
    <w:rsid w:val="001924D9"/>
    <w:rsid w:val="001941DB"/>
    <w:rsid w:val="00196222"/>
    <w:rsid w:val="001B372D"/>
    <w:rsid w:val="001B6322"/>
    <w:rsid w:val="001C1C56"/>
    <w:rsid w:val="001C5CD1"/>
    <w:rsid w:val="001E01FA"/>
    <w:rsid w:val="001F0DB3"/>
    <w:rsid w:val="001F15DD"/>
    <w:rsid w:val="001F62D4"/>
    <w:rsid w:val="0020323E"/>
    <w:rsid w:val="00217963"/>
    <w:rsid w:val="00217985"/>
    <w:rsid w:val="002304F5"/>
    <w:rsid w:val="00230736"/>
    <w:rsid w:val="00235CC7"/>
    <w:rsid w:val="002471FD"/>
    <w:rsid w:val="00264F2E"/>
    <w:rsid w:val="0027229C"/>
    <w:rsid w:val="0029617F"/>
    <w:rsid w:val="002A2C30"/>
    <w:rsid w:val="002A47FE"/>
    <w:rsid w:val="002A61D5"/>
    <w:rsid w:val="002B0CD9"/>
    <w:rsid w:val="002B3A19"/>
    <w:rsid w:val="002C3049"/>
    <w:rsid w:val="002C4D07"/>
    <w:rsid w:val="002D28CD"/>
    <w:rsid w:val="002E0315"/>
    <w:rsid w:val="002E118F"/>
    <w:rsid w:val="00300038"/>
    <w:rsid w:val="00300611"/>
    <w:rsid w:val="00313842"/>
    <w:rsid w:val="00314A7D"/>
    <w:rsid w:val="00317836"/>
    <w:rsid w:val="0032187E"/>
    <w:rsid w:val="0034325B"/>
    <w:rsid w:val="00350018"/>
    <w:rsid w:val="003579F7"/>
    <w:rsid w:val="00360344"/>
    <w:rsid w:val="00360BD2"/>
    <w:rsid w:val="003710CA"/>
    <w:rsid w:val="00373A85"/>
    <w:rsid w:val="0037780F"/>
    <w:rsid w:val="00384F13"/>
    <w:rsid w:val="0038760D"/>
    <w:rsid w:val="00393670"/>
    <w:rsid w:val="003B1FD8"/>
    <w:rsid w:val="003B4A05"/>
    <w:rsid w:val="003B6F19"/>
    <w:rsid w:val="003C0101"/>
    <w:rsid w:val="003C5A7A"/>
    <w:rsid w:val="003C6E24"/>
    <w:rsid w:val="003D20C9"/>
    <w:rsid w:val="003D70C0"/>
    <w:rsid w:val="003E0DC6"/>
    <w:rsid w:val="003E5021"/>
    <w:rsid w:val="003E56AF"/>
    <w:rsid w:val="003F478F"/>
    <w:rsid w:val="004047D2"/>
    <w:rsid w:val="00410798"/>
    <w:rsid w:val="00410944"/>
    <w:rsid w:val="004135CB"/>
    <w:rsid w:val="00427E9C"/>
    <w:rsid w:val="00430583"/>
    <w:rsid w:val="0043730A"/>
    <w:rsid w:val="00443B94"/>
    <w:rsid w:val="004525C7"/>
    <w:rsid w:val="004526F7"/>
    <w:rsid w:val="004539C1"/>
    <w:rsid w:val="0046169C"/>
    <w:rsid w:val="004750E0"/>
    <w:rsid w:val="00481961"/>
    <w:rsid w:val="004846BC"/>
    <w:rsid w:val="004855C8"/>
    <w:rsid w:val="00485B3B"/>
    <w:rsid w:val="004868C7"/>
    <w:rsid w:val="00494BB9"/>
    <w:rsid w:val="004A24BD"/>
    <w:rsid w:val="004B45B4"/>
    <w:rsid w:val="004C587F"/>
    <w:rsid w:val="004C6551"/>
    <w:rsid w:val="004D2079"/>
    <w:rsid w:val="004E7A69"/>
    <w:rsid w:val="004F0B1C"/>
    <w:rsid w:val="004F3499"/>
    <w:rsid w:val="00500348"/>
    <w:rsid w:val="005010CC"/>
    <w:rsid w:val="0050664B"/>
    <w:rsid w:val="0051619A"/>
    <w:rsid w:val="00526751"/>
    <w:rsid w:val="00527CC3"/>
    <w:rsid w:val="00546A31"/>
    <w:rsid w:val="00550CE4"/>
    <w:rsid w:val="00552FBB"/>
    <w:rsid w:val="00555C87"/>
    <w:rsid w:val="005658CF"/>
    <w:rsid w:val="00575906"/>
    <w:rsid w:val="00597DA2"/>
    <w:rsid w:val="005A7245"/>
    <w:rsid w:val="005C090C"/>
    <w:rsid w:val="005D778C"/>
    <w:rsid w:val="005E43EF"/>
    <w:rsid w:val="005F375D"/>
    <w:rsid w:val="005F7BD1"/>
    <w:rsid w:val="0060691F"/>
    <w:rsid w:val="00615695"/>
    <w:rsid w:val="0061746C"/>
    <w:rsid w:val="00634185"/>
    <w:rsid w:val="00636A08"/>
    <w:rsid w:val="00644912"/>
    <w:rsid w:val="00650B13"/>
    <w:rsid w:val="006538C4"/>
    <w:rsid w:val="0066101D"/>
    <w:rsid w:val="00664FDB"/>
    <w:rsid w:val="00665D6D"/>
    <w:rsid w:val="00670181"/>
    <w:rsid w:val="00671E92"/>
    <w:rsid w:val="00674103"/>
    <w:rsid w:val="00686E7B"/>
    <w:rsid w:val="006A3F75"/>
    <w:rsid w:val="006A489A"/>
    <w:rsid w:val="006A5577"/>
    <w:rsid w:val="006A670B"/>
    <w:rsid w:val="006B756B"/>
    <w:rsid w:val="006E2E98"/>
    <w:rsid w:val="006E3FCF"/>
    <w:rsid w:val="006E4043"/>
    <w:rsid w:val="006F6F3D"/>
    <w:rsid w:val="00701AE3"/>
    <w:rsid w:val="00701EC3"/>
    <w:rsid w:val="00704E37"/>
    <w:rsid w:val="007051E2"/>
    <w:rsid w:val="0070727C"/>
    <w:rsid w:val="0071004C"/>
    <w:rsid w:val="00712C21"/>
    <w:rsid w:val="007441E0"/>
    <w:rsid w:val="00750815"/>
    <w:rsid w:val="00753615"/>
    <w:rsid w:val="007662DA"/>
    <w:rsid w:val="00780559"/>
    <w:rsid w:val="00785233"/>
    <w:rsid w:val="00790AD5"/>
    <w:rsid w:val="00790D44"/>
    <w:rsid w:val="0079202A"/>
    <w:rsid w:val="00794177"/>
    <w:rsid w:val="00795C31"/>
    <w:rsid w:val="007B4D89"/>
    <w:rsid w:val="007C3363"/>
    <w:rsid w:val="007C4AF9"/>
    <w:rsid w:val="007C5C75"/>
    <w:rsid w:val="007D0DCD"/>
    <w:rsid w:val="007D22C3"/>
    <w:rsid w:val="007D6FAD"/>
    <w:rsid w:val="007E0203"/>
    <w:rsid w:val="007F512C"/>
    <w:rsid w:val="007F7C1C"/>
    <w:rsid w:val="00817402"/>
    <w:rsid w:val="00822516"/>
    <w:rsid w:val="00822E9E"/>
    <w:rsid w:val="00823F10"/>
    <w:rsid w:val="00833DE7"/>
    <w:rsid w:val="00835EFA"/>
    <w:rsid w:val="008464DA"/>
    <w:rsid w:val="00846E6C"/>
    <w:rsid w:val="00847AD0"/>
    <w:rsid w:val="008526B3"/>
    <w:rsid w:val="00855221"/>
    <w:rsid w:val="00881387"/>
    <w:rsid w:val="00887358"/>
    <w:rsid w:val="00887574"/>
    <w:rsid w:val="008940FF"/>
    <w:rsid w:val="008959AB"/>
    <w:rsid w:val="008A2725"/>
    <w:rsid w:val="008B1CFE"/>
    <w:rsid w:val="008B50DD"/>
    <w:rsid w:val="008C6608"/>
    <w:rsid w:val="008C6AE7"/>
    <w:rsid w:val="008D3418"/>
    <w:rsid w:val="008E15CB"/>
    <w:rsid w:val="008E6C87"/>
    <w:rsid w:val="008E6FCB"/>
    <w:rsid w:val="00930E6D"/>
    <w:rsid w:val="0094083C"/>
    <w:rsid w:val="009535C0"/>
    <w:rsid w:val="009571E1"/>
    <w:rsid w:val="00960609"/>
    <w:rsid w:val="009608B8"/>
    <w:rsid w:val="00961CDF"/>
    <w:rsid w:val="00961E30"/>
    <w:rsid w:val="00971763"/>
    <w:rsid w:val="00972038"/>
    <w:rsid w:val="0097441E"/>
    <w:rsid w:val="00987CCA"/>
    <w:rsid w:val="00992E26"/>
    <w:rsid w:val="00993B24"/>
    <w:rsid w:val="009B1859"/>
    <w:rsid w:val="009C1C79"/>
    <w:rsid w:val="009C38C1"/>
    <w:rsid w:val="009C4EF3"/>
    <w:rsid w:val="009E0B00"/>
    <w:rsid w:val="009F1485"/>
    <w:rsid w:val="00A00D52"/>
    <w:rsid w:val="00A05F3A"/>
    <w:rsid w:val="00A121CB"/>
    <w:rsid w:val="00A1244D"/>
    <w:rsid w:val="00A16971"/>
    <w:rsid w:val="00A23008"/>
    <w:rsid w:val="00A25900"/>
    <w:rsid w:val="00A50168"/>
    <w:rsid w:val="00A558B6"/>
    <w:rsid w:val="00A55B13"/>
    <w:rsid w:val="00A57C3E"/>
    <w:rsid w:val="00A64D05"/>
    <w:rsid w:val="00A71A04"/>
    <w:rsid w:val="00A74566"/>
    <w:rsid w:val="00A75F54"/>
    <w:rsid w:val="00A8757C"/>
    <w:rsid w:val="00A87B10"/>
    <w:rsid w:val="00A94420"/>
    <w:rsid w:val="00A97245"/>
    <w:rsid w:val="00AA0B7B"/>
    <w:rsid w:val="00AA123C"/>
    <w:rsid w:val="00AA400D"/>
    <w:rsid w:val="00AA4A00"/>
    <w:rsid w:val="00AD454D"/>
    <w:rsid w:val="00AD4D16"/>
    <w:rsid w:val="00AE1627"/>
    <w:rsid w:val="00AE70B8"/>
    <w:rsid w:val="00AE7A22"/>
    <w:rsid w:val="00AF7327"/>
    <w:rsid w:val="00B0191B"/>
    <w:rsid w:val="00B01C11"/>
    <w:rsid w:val="00B13461"/>
    <w:rsid w:val="00B21379"/>
    <w:rsid w:val="00B22486"/>
    <w:rsid w:val="00B25993"/>
    <w:rsid w:val="00B46CFA"/>
    <w:rsid w:val="00B479D0"/>
    <w:rsid w:val="00B66E1A"/>
    <w:rsid w:val="00B66F3D"/>
    <w:rsid w:val="00B731DC"/>
    <w:rsid w:val="00B76577"/>
    <w:rsid w:val="00B769C2"/>
    <w:rsid w:val="00B76BB7"/>
    <w:rsid w:val="00B84CC9"/>
    <w:rsid w:val="00B86EC3"/>
    <w:rsid w:val="00B933B2"/>
    <w:rsid w:val="00BA0B74"/>
    <w:rsid w:val="00BA1824"/>
    <w:rsid w:val="00BA18E7"/>
    <w:rsid w:val="00BA79F6"/>
    <w:rsid w:val="00BB2DE1"/>
    <w:rsid w:val="00BC6A04"/>
    <w:rsid w:val="00BD28B5"/>
    <w:rsid w:val="00BD342D"/>
    <w:rsid w:val="00BD4D38"/>
    <w:rsid w:val="00BF0BDA"/>
    <w:rsid w:val="00BF14B9"/>
    <w:rsid w:val="00BF4F4B"/>
    <w:rsid w:val="00BF7539"/>
    <w:rsid w:val="00C04ED9"/>
    <w:rsid w:val="00C0743E"/>
    <w:rsid w:val="00C13BBE"/>
    <w:rsid w:val="00C1475D"/>
    <w:rsid w:val="00C1744D"/>
    <w:rsid w:val="00C25578"/>
    <w:rsid w:val="00C26331"/>
    <w:rsid w:val="00C31813"/>
    <w:rsid w:val="00C36AE3"/>
    <w:rsid w:val="00C375A4"/>
    <w:rsid w:val="00C41714"/>
    <w:rsid w:val="00C64813"/>
    <w:rsid w:val="00C65C3D"/>
    <w:rsid w:val="00C76798"/>
    <w:rsid w:val="00C76D03"/>
    <w:rsid w:val="00C826B6"/>
    <w:rsid w:val="00C834A2"/>
    <w:rsid w:val="00CA4B20"/>
    <w:rsid w:val="00CB7056"/>
    <w:rsid w:val="00CC0CFF"/>
    <w:rsid w:val="00CC63FD"/>
    <w:rsid w:val="00CC6C49"/>
    <w:rsid w:val="00CC73DB"/>
    <w:rsid w:val="00CC7B51"/>
    <w:rsid w:val="00CE6BA5"/>
    <w:rsid w:val="00CE6FEA"/>
    <w:rsid w:val="00CF2ABA"/>
    <w:rsid w:val="00CF3A89"/>
    <w:rsid w:val="00D004E7"/>
    <w:rsid w:val="00D014E1"/>
    <w:rsid w:val="00D113CE"/>
    <w:rsid w:val="00D11BFC"/>
    <w:rsid w:val="00D219D2"/>
    <w:rsid w:val="00D241CF"/>
    <w:rsid w:val="00D26EFB"/>
    <w:rsid w:val="00D457A7"/>
    <w:rsid w:val="00D62813"/>
    <w:rsid w:val="00D64656"/>
    <w:rsid w:val="00D662C1"/>
    <w:rsid w:val="00D730CB"/>
    <w:rsid w:val="00D748A2"/>
    <w:rsid w:val="00D81138"/>
    <w:rsid w:val="00D84A8F"/>
    <w:rsid w:val="00DC16BC"/>
    <w:rsid w:val="00DC1CF8"/>
    <w:rsid w:val="00DC2335"/>
    <w:rsid w:val="00DC5424"/>
    <w:rsid w:val="00DC65A3"/>
    <w:rsid w:val="00DD06F5"/>
    <w:rsid w:val="00DE45E6"/>
    <w:rsid w:val="00DF3192"/>
    <w:rsid w:val="00E02607"/>
    <w:rsid w:val="00E0478A"/>
    <w:rsid w:val="00E0716E"/>
    <w:rsid w:val="00E1670D"/>
    <w:rsid w:val="00E26C35"/>
    <w:rsid w:val="00E27AF2"/>
    <w:rsid w:val="00E33EA3"/>
    <w:rsid w:val="00E4055D"/>
    <w:rsid w:val="00E4215D"/>
    <w:rsid w:val="00E51E0C"/>
    <w:rsid w:val="00E52311"/>
    <w:rsid w:val="00E570A6"/>
    <w:rsid w:val="00E71D28"/>
    <w:rsid w:val="00E73566"/>
    <w:rsid w:val="00E826BA"/>
    <w:rsid w:val="00E8572C"/>
    <w:rsid w:val="00E91A0D"/>
    <w:rsid w:val="00EA13B1"/>
    <w:rsid w:val="00EA1CF7"/>
    <w:rsid w:val="00EA52F2"/>
    <w:rsid w:val="00EA6823"/>
    <w:rsid w:val="00EB4050"/>
    <w:rsid w:val="00EB54CC"/>
    <w:rsid w:val="00EC01A4"/>
    <w:rsid w:val="00ED0315"/>
    <w:rsid w:val="00ED7450"/>
    <w:rsid w:val="00EE6748"/>
    <w:rsid w:val="00EE7F9D"/>
    <w:rsid w:val="00EF292F"/>
    <w:rsid w:val="00EF46BF"/>
    <w:rsid w:val="00EF5F7F"/>
    <w:rsid w:val="00EF7F08"/>
    <w:rsid w:val="00F0215F"/>
    <w:rsid w:val="00F02214"/>
    <w:rsid w:val="00F02833"/>
    <w:rsid w:val="00F17A4E"/>
    <w:rsid w:val="00F2188C"/>
    <w:rsid w:val="00F22B62"/>
    <w:rsid w:val="00F2588D"/>
    <w:rsid w:val="00F432DD"/>
    <w:rsid w:val="00F44616"/>
    <w:rsid w:val="00F44AB2"/>
    <w:rsid w:val="00F44E00"/>
    <w:rsid w:val="00F4526E"/>
    <w:rsid w:val="00F50893"/>
    <w:rsid w:val="00F7340D"/>
    <w:rsid w:val="00F74894"/>
    <w:rsid w:val="00F85975"/>
    <w:rsid w:val="00F91CE7"/>
    <w:rsid w:val="00FC5165"/>
    <w:rsid w:val="00FD533F"/>
    <w:rsid w:val="00FD5AC2"/>
    <w:rsid w:val="00FE0E42"/>
    <w:rsid w:val="00FE37AD"/>
    <w:rsid w:val="00FE4810"/>
    <w:rsid w:val="00FE6454"/>
    <w:rsid w:val="00FF7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8481"/>
    <o:shapelayout v:ext="edit">
      <o:idmap v:ext="edit" data="1"/>
    </o:shapelayout>
  </w:shapeDefaults>
  <w:decimalSymbol w:val=","/>
  <w:listSeparator w:val=";"/>
  <w14:docId w14:val="238FB9DA"/>
  <w15:docId w15:val="{608E4015-0A18-40C5-91AD-BEFCD42A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3049"/>
    <w:rPr>
      <w:rFonts w:ascii="Arial" w:hAnsi="Arial"/>
    </w:rPr>
  </w:style>
  <w:style w:type="paragraph" w:styleId="Nadpis1">
    <w:name w:val="heading 1"/>
    <w:basedOn w:val="Normln"/>
    <w:next w:val="Nadpis2"/>
    <w:link w:val="Nadpis1Char"/>
    <w:rsid w:val="00035674"/>
    <w:pPr>
      <w:keepNext/>
      <w:keepLines/>
      <w:spacing w:before="360" w:after="120" w:line="276" w:lineRule="auto"/>
      <w:jc w:val="both"/>
      <w:outlineLvl w:val="0"/>
    </w:pPr>
    <w:rPr>
      <w:rFonts w:ascii="Arial Black" w:eastAsiaTheme="majorEastAsia" w:hAnsi="Arial Black" w:cstheme="majorBidi"/>
      <w:b/>
      <w:bCs/>
      <w:sz w:val="28"/>
      <w:szCs w:val="28"/>
    </w:rPr>
  </w:style>
  <w:style w:type="paragraph" w:styleId="Nadpis2">
    <w:name w:val="heading 2"/>
    <w:basedOn w:val="Normln"/>
    <w:next w:val="Normln"/>
    <w:link w:val="Nadpis2Char"/>
    <w:uiPriority w:val="9"/>
    <w:unhideWhenUsed/>
    <w:qFormat/>
    <w:rsid w:val="002E118F"/>
    <w:pPr>
      <w:keepNext/>
      <w:keepLines/>
      <w:spacing w:before="60" w:after="120"/>
      <w:outlineLvl w:val="1"/>
    </w:pPr>
    <w:rPr>
      <w:rFonts w:eastAsiaTheme="majorEastAsia" w:cstheme="majorBidi"/>
      <w:b/>
      <w:sz w:val="28"/>
      <w:szCs w:val="26"/>
    </w:rPr>
  </w:style>
  <w:style w:type="paragraph" w:styleId="Nadpis3">
    <w:name w:val="heading 3"/>
    <w:basedOn w:val="Normln"/>
    <w:next w:val="Normln"/>
    <w:link w:val="Nadpis3Char"/>
    <w:uiPriority w:val="9"/>
    <w:unhideWhenUsed/>
    <w:qFormat/>
    <w:rsid w:val="00A8757C"/>
    <w:pPr>
      <w:keepNext/>
      <w:keepLines/>
      <w:spacing w:before="120" w:after="0"/>
      <w:outlineLvl w:val="2"/>
    </w:pPr>
    <w:rPr>
      <w:rFonts w:eastAsiaTheme="majorEastAsia" w:cstheme="majorBidi"/>
      <w:b/>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Nzevknihy">
    <w:name w:val="Book Title"/>
    <w:aliases w:val="Titulní list"/>
    <w:basedOn w:val="Standardnpsmoodstavce"/>
    <w:uiPriority w:val="33"/>
    <w:rsid w:val="00887574"/>
    <w:rPr>
      <w:rFonts w:ascii="Arial" w:hAnsi="Arial"/>
      <w:b/>
      <w:bCs/>
      <w:smallCaps/>
      <w:spacing w:val="5"/>
      <w:sz w:val="32"/>
    </w:rPr>
  </w:style>
  <w:style w:type="paragraph" w:styleId="Zhlav">
    <w:name w:val="header"/>
    <w:basedOn w:val="Normln"/>
    <w:link w:val="ZhlavChar"/>
    <w:unhideWhenUsed/>
    <w:rsid w:val="0088757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574"/>
  </w:style>
  <w:style w:type="paragraph" w:styleId="Zpat">
    <w:name w:val="footer"/>
    <w:basedOn w:val="Normln"/>
    <w:link w:val="ZpatChar"/>
    <w:uiPriority w:val="99"/>
    <w:unhideWhenUsed/>
    <w:rsid w:val="00887574"/>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574"/>
  </w:style>
  <w:style w:type="paragraph" w:styleId="Textbubliny">
    <w:name w:val="Balloon Text"/>
    <w:basedOn w:val="Normln"/>
    <w:link w:val="TextbublinyChar"/>
    <w:uiPriority w:val="99"/>
    <w:semiHidden/>
    <w:unhideWhenUsed/>
    <w:rsid w:val="00CF2AB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F2ABA"/>
    <w:rPr>
      <w:rFonts w:ascii="Segoe UI" w:hAnsi="Segoe UI" w:cs="Segoe UI"/>
      <w:sz w:val="18"/>
      <w:szCs w:val="18"/>
    </w:rPr>
  </w:style>
  <w:style w:type="character" w:customStyle="1" w:styleId="Nadpis1Char">
    <w:name w:val="Nadpis 1 Char"/>
    <w:basedOn w:val="Standardnpsmoodstavce"/>
    <w:link w:val="Nadpis1"/>
    <w:rsid w:val="00035674"/>
    <w:rPr>
      <w:rFonts w:ascii="Arial Black" w:eastAsiaTheme="majorEastAsia" w:hAnsi="Arial Black" w:cstheme="majorBidi"/>
      <w:b/>
      <w:bCs/>
      <w:sz w:val="28"/>
      <w:szCs w:val="28"/>
    </w:rPr>
  </w:style>
  <w:style w:type="paragraph" w:styleId="Podnadpis">
    <w:name w:val="Subtitle"/>
    <w:basedOn w:val="Normln"/>
    <w:next w:val="Normln"/>
    <w:link w:val="PodnadpisChar"/>
    <w:uiPriority w:val="11"/>
    <w:qFormat/>
    <w:rsid w:val="00035674"/>
    <w:pPr>
      <w:numPr>
        <w:ilvl w:val="1"/>
      </w:numPr>
      <w:spacing w:before="120" w:after="120" w:line="276" w:lineRule="auto"/>
      <w:ind w:firstLine="340"/>
      <w:jc w:val="both"/>
    </w:pPr>
    <w:rPr>
      <w:rFonts w:ascii="Arial Black" w:eastAsiaTheme="majorEastAsia" w:hAnsi="Arial Black" w:cstheme="majorBidi"/>
      <w:b/>
      <w:iCs/>
      <w:szCs w:val="24"/>
    </w:rPr>
  </w:style>
  <w:style w:type="character" w:customStyle="1" w:styleId="PodnadpisChar">
    <w:name w:val="Podnadpis Char"/>
    <w:basedOn w:val="Standardnpsmoodstavce"/>
    <w:link w:val="Podnadpis"/>
    <w:uiPriority w:val="11"/>
    <w:rsid w:val="00035674"/>
    <w:rPr>
      <w:rFonts w:ascii="Arial Black" w:eastAsiaTheme="majorEastAsia" w:hAnsi="Arial Black" w:cstheme="majorBidi"/>
      <w:b/>
      <w:iCs/>
      <w:szCs w:val="24"/>
    </w:rPr>
  </w:style>
  <w:style w:type="character" w:customStyle="1" w:styleId="Nadpis2Char">
    <w:name w:val="Nadpis 2 Char"/>
    <w:basedOn w:val="Standardnpsmoodstavce"/>
    <w:link w:val="Nadpis2"/>
    <w:uiPriority w:val="9"/>
    <w:rsid w:val="002E118F"/>
    <w:rPr>
      <w:rFonts w:ascii="Arial" w:eastAsiaTheme="majorEastAsia" w:hAnsi="Arial" w:cstheme="majorBidi"/>
      <w:b/>
      <w:sz w:val="28"/>
      <w:szCs w:val="26"/>
    </w:rPr>
  </w:style>
  <w:style w:type="character" w:customStyle="1" w:styleId="Nadpis3Char">
    <w:name w:val="Nadpis 3 Char"/>
    <w:basedOn w:val="Standardnpsmoodstavce"/>
    <w:link w:val="Nadpis3"/>
    <w:uiPriority w:val="9"/>
    <w:rsid w:val="00A8757C"/>
    <w:rPr>
      <w:rFonts w:ascii="Arial" w:eastAsiaTheme="majorEastAsia" w:hAnsi="Arial" w:cstheme="majorBidi"/>
      <w:b/>
      <w:sz w:val="24"/>
      <w:szCs w:val="24"/>
    </w:rPr>
  </w:style>
  <w:style w:type="paragraph" w:styleId="Nadpisobsahu">
    <w:name w:val="TOC Heading"/>
    <w:basedOn w:val="Nadpis1"/>
    <w:next w:val="Normln"/>
    <w:uiPriority w:val="39"/>
    <w:unhideWhenUsed/>
    <w:qFormat/>
    <w:rsid w:val="005A7245"/>
    <w:pPr>
      <w:spacing w:before="240" w:after="0" w:line="259" w:lineRule="auto"/>
      <w:jc w:val="left"/>
      <w:outlineLvl w:val="9"/>
    </w:pPr>
    <w:rPr>
      <w:rFonts w:ascii="Arial" w:hAnsi="Arial"/>
      <w:bCs w:val="0"/>
      <w:sz w:val="32"/>
      <w:szCs w:val="32"/>
      <w:lang w:eastAsia="cs-CZ"/>
    </w:rPr>
  </w:style>
  <w:style w:type="paragraph" w:styleId="Obsah2">
    <w:name w:val="toc 2"/>
    <w:basedOn w:val="Normln"/>
    <w:next w:val="Normln"/>
    <w:autoRedefine/>
    <w:uiPriority w:val="39"/>
    <w:unhideWhenUsed/>
    <w:rsid w:val="004047D2"/>
    <w:pPr>
      <w:spacing w:after="100"/>
      <w:ind w:left="220"/>
    </w:pPr>
  </w:style>
  <w:style w:type="paragraph" w:styleId="Obsah3">
    <w:name w:val="toc 3"/>
    <w:basedOn w:val="Normln"/>
    <w:next w:val="Normln"/>
    <w:autoRedefine/>
    <w:uiPriority w:val="39"/>
    <w:unhideWhenUsed/>
    <w:rsid w:val="004047D2"/>
    <w:pPr>
      <w:spacing w:after="100"/>
      <w:ind w:left="440"/>
    </w:pPr>
  </w:style>
  <w:style w:type="character" w:styleId="Hypertextovodkaz">
    <w:name w:val="Hyperlink"/>
    <w:basedOn w:val="Standardnpsmoodstavce"/>
    <w:uiPriority w:val="99"/>
    <w:unhideWhenUsed/>
    <w:rsid w:val="004047D2"/>
    <w:rPr>
      <w:color w:val="0563C1" w:themeColor="hyperlink"/>
      <w:u w:val="single"/>
    </w:rPr>
  </w:style>
  <w:style w:type="paragraph" w:styleId="Bezmezer">
    <w:name w:val="No Spacing"/>
    <w:link w:val="BezmezerChar"/>
    <w:uiPriority w:val="1"/>
    <w:qFormat/>
    <w:rsid w:val="001603AA"/>
    <w:pPr>
      <w:spacing w:after="0" w:line="240" w:lineRule="auto"/>
    </w:pPr>
    <w:rPr>
      <w:rFonts w:ascii="Arial" w:hAnsi="Arial"/>
      <w:sz w:val="24"/>
    </w:rPr>
  </w:style>
  <w:style w:type="paragraph" w:customStyle="1" w:styleId="Normlntenzabezmezer">
    <w:name w:val="Normální tenza bez mezer"/>
    <w:basedOn w:val="Normln"/>
    <w:link w:val="NormlntenzabezmezerChar"/>
    <w:qFormat/>
    <w:rsid w:val="002C3049"/>
    <w:pPr>
      <w:spacing w:before="60" w:after="0"/>
      <w:jc w:val="both"/>
    </w:pPr>
    <w:rPr>
      <w:lang w:eastAsia="cs-CZ"/>
    </w:rPr>
  </w:style>
  <w:style w:type="table" w:styleId="Mkatabulky">
    <w:name w:val="Table Grid"/>
    <w:basedOn w:val="Normlntabulka"/>
    <w:uiPriority w:val="59"/>
    <w:rsid w:val="00A87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lntenzabezmezerChar">
    <w:name w:val="Normální tenza bez mezer Char"/>
    <w:basedOn w:val="Standardnpsmoodstavce"/>
    <w:link w:val="Normlntenzabezmezer"/>
    <w:rsid w:val="002C3049"/>
    <w:rPr>
      <w:rFonts w:ascii="Arial" w:hAnsi="Arial"/>
      <w:lang w:eastAsia="cs-CZ"/>
    </w:rPr>
  </w:style>
  <w:style w:type="paragraph" w:styleId="Odstavecseseznamem">
    <w:name w:val="List Paragraph"/>
    <w:basedOn w:val="Normln"/>
    <w:uiPriority w:val="34"/>
    <w:qFormat/>
    <w:rsid w:val="007F512C"/>
    <w:pPr>
      <w:spacing w:after="200" w:line="276" w:lineRule="auto"/>
      <w:ind w:left="720" w:firstLine="340"/>
      <w:contextualSpacing/>
      <w:jc w:val="both"/>
    </w:pPr>
    <w:rPr>
      <w:rFonts w:asciiTheme="minorHAnsi" w:hAnsiTheme="minorHAnsi"/>
    </w:rPr>
  </w:style>
  <w:style w:type="character" w:styleId="Siln">
    <w:name w:val="Strong"/>
    <w:basedOn w:val="Standardnpsmoodstavce"/>
    <w:uiPriority w:val="22"/>
    <w:qFormat/>
    <w:rsid w:val="00DD06F5"/>
    <w:rPr>
      <w:b/>
      <w:bCs/>
    </w:rPr>
  </w:style>
  <w:style w:type="character" w:customStyle="1" w:styleId="BezmezerChar">
    <w:name w:val="Bez mezer Char"/>
    <w:basedOn w:val="Standardnpsmoodstavce"/>
    <w:link w:val="Bezmezer"/>
    <w:uiPriority w:val="1"/>
    <w:rsid w:val="0034325B"/>
    <w:rPr>
      <w:rFonts w:ascii="Arial" w:hAnsi="Arial"/>
      <w:sz w:val="24"/>
    </w:rPr>
  </w:style>
  <w:style w:type="character" w:styleId="Odkazjemn">
    <w:name w:val="Subtle Reference"/>
    <w:basedOn w:val="Standardnpsmoodstavce"/>
    <w:uiPriority w:val="31"/>
    <w:qFormat/>
    <w:rsid w:val="00575906"/>
    <w:rPr>
      <w:smallCaps/>
      <w:color w:val="5A5A5A" w:themeColor="text1" w:themeTint="A5"/>
    </w:rPr>
  </w:style>
  <w:style w:type="paragraph" w:styleId="Titulek">
    <w:name w:val="caption"/>
    <w:basedOn w:val="Normln"/>
    <w:next w:val="Normln"/>
    <w:uiPriority w:val="35"/>
    <w:unhideWhenUsed/>
    <w:qFormat/>
    <w:rsid w:val="00E570A6"/>
    <w:pPr>
      <w:spacing w:after="200" w:line="240" w:lineRule="auto"/>
    </w:pPr>
    <w:rPr>
      <w:iCs/>
      <w:sz w:val="20"/>
      <w:szCs w:val="18"/>
    </w:rPr>
  </w:style>
  <w:style w:type="paragraph" w:styleId="Seznamobrzk">
    <w:name w:val="table of figures"/>
    <w:basedOn w:val="Normln"/>
    <w:next w:val="Normln"/>
    <w:uiPriority w:val="99"/>
    <w:unhideWhenUsed/>
    <w:rsid w:val="00D748A2"/>
    <w:pPr>
      <w:spacing w:after="0"/>
    </w:pPr>
  </w:style>
  <w:style w:type="paragraph" w:customStyle="1" w:styleId="Raztkonormln">
    <w:name w:val="Razítko normální"/>
    <w:basedOn w:val="Normln"/>
    <w:rsid w:val="00B13461"/>
    <w:pPr>
      <w:spacing w:after="200" w:line="240" w:lineRule="auto"/>
    </w:pPr>
    <w:rPr>
      <w:rFonts w:asciiTheme="minorHAnsi" w:hAnsiTheme="minorHAnsi"/>
      <w:sz w:val="16"/>
      <w:szCs w:val="40"/>
    </w:rPr>
  </w:style>
  <w:style w:type="paragraph" w:customStyle="1" w:styleId="Nadpistitulka">
    <w:name w:val="Nadpis titulka"/>
    <w:basedOn w:val="Normln"/>
    <w:qFormat/>
    <w:rsid w:val="00B13461"/>
    <w:pPr>
      <w:spacing w:after="200" w:line="0" w:lineRule="atLeast"/>
      <w:jc w:val="both"/>
    </w:pPr>
    <w:rPr>
      <w:rFonts w:asciiTheme="minorHAnsi" w:hAnsiTheme="minorHAnsi"/>
      <w:b/>
      <w:sz w:val="40"/>
    </w:rPr>
  </w:style>
  <w:style w:type="paragraph" w:customStyle="1" w:styleId="Zkladntext21">
    <w:name w:val="Základní text 21"/>
    <w:basedOn w:val="Normln"/>
    <w:rsid w:val="00BA79F6"/>
    <w:pPr>
      <w:overflowPunct w:val="0"/>
      <w:autoSpaceDE w:val="0"/>
      <w:autoSpaceDN w:val="0"/>
      <w:adjustRightInd w:val="0"/>
      <w:spacing w:after="0" w:line="240" w:lineRule="auto"/>
      <w:jc w:val="both"/>
      <w:textAlignment w:val="baseline"/>
    </w:pPr>
    <w:rPr>
      <w:rFonts w:eastAsia="Times New Roman" w:cs="Times New Roman"/>
      <w:sz w:val="20"/>
      <w:szCs w:val="20"/>
      <w:lang w:eastAsia="cs-CZ"/>
    </w:rPr>
  </w:style>
  <w:style w:type="paragraph" w:styleId="Zkladntextodsazen3">
    <w:name w:val="Body Text Indent 3"/>
    <w:basedOn w:val="Normln"/>
    <w:link w:val="Zkladntextodsazen3Char"/>
    <w:rsid w:val="0038760D"/>
    <w:pPr>
      <w:spacing w:after="0" w:line="240" w:lineRule="auto"/>
      <w:ind w:left="360"/>
      <w:jc w:val="both"/>
    </w:pPr>
    <w:rPr>
      <w:rFonts w:ascii="Times New Roman" w:eastAsia="Times New Roman" w:hAnsi="Times New Roman" w:cs="Times New Roman"/>
      <w:szCs w:val="20"/>
      <w:lang w:eastAsia="cs-CZ"/>
    </w:rPr>
  </w:style>
  <w:style w:type="character" w:customStyle="1" w:styleId="Zkladntextodsazen3Char">
    <w:name w:val="Základní text odsazený 3 Char"/>
    <w:basedOn w:val="Standardnpsmoodstavce"/>
    <w:link w:val="Zkladntextodsazen3"/>
    <w:rsid w:val="0038760D"/>
    <w:rPr>
      <w:rFonts w:ascii="Times New Roman" w:eastAsia="Times New Roman" w:hAnsi="Times New Roman" w:cs="Times New Roman"/>
      <w:szCs w:val="20"/>
      <w:lang w:eastAsia="cs-CZ"/>
    </w:rPr>
  </w:style>
  <w:style w:type="paragraph" w:styleId="Zkladntext2">
    <w:name w:val="Body Text 2"/>
    <w:basedOn w:val="Normln"/>
    <w:link w:val="Zkladntext2Char"/>
    <w:uiPriority w:val="99"/>
    <w:semiHidden/>
    <w:unhideWhenUsed/>
    <w:rsid w:val="0038760D"/>
    <w:pPr>
      <w:spacing w:after="120" w:line="480" w:lineRule="auto"/>
    </w:pPr>
  </w:style>
  <w:style w:type="character" w:customStyle="1" w:styleId="Zkladntext2Char">
    <w:name w:val="Základní text 2 Char"/>
    <w:basedOn w:val="Standardnpsmoodstavce"/>
    <w:link w:val="Zkladntext2"/>
    <w:uiPriority w:val="99"/>
    <w:semiHidden/>
    <w:rsid w:val="0038760D"/>
    <w:rPr>
      <w:rFonts w:ascii="Arial" w:hAnsi="Arial"/>
    </w:rPr>
  </w:style>
  <w:style w:type="character" w:styleId="Odkaznakoment">
    <w:name w:val="annotation reference"/>
    <w:basedOn w:val="Standardnpsmoodstavce"/>
    <w:uiPriority w:val="99"/>
    <w:semiHidden/>
    <w:unhideWhenUsed/>
    <w:rsid w:val="002B3A19"/>
    <w:rPr>
      <w:sz w:val="16"/>
      <w:szCs w:val="16"/>
    </w:rPr>
  </w:style>
  <w:style w:type="paragraph" w:styleId="Textkomente">
    <w:name w:val="annotation text"/>
    <w:basedOn w:val="Normln"/>
    <w:link w:val="TextkomenteChar"/>
    <w:uiPriority w:val="99"/>
    <w:semiHidden/>
    <w:unhideWhenUsed/>
    <w:rsid w:val="002B3A19"/>
    <w:pPr>
      <w:spacing w:line="240" w:lineRule="auto"/>
    </w:pPr>
    <w:rPr>
      <w:sz w:val="20"/>
      <w:szCs w:val="20"/>
    </w:rPr>
  </w:style>
  <w:style w:type="character" w:customStyle="1" w:styleId="TextkomenteChar">
    <w:name w:val="Text komentáře Char"/>
    <w:basedOn w:val="Standardnpsmoodstavce"/>
    <w:link w:val="Textkomente"/>
    <w:uiPriority w:val="99"/>
    <w:semiHidden/>
    <w:rsid w:val="002B3A19"/>
    <w:rPr>
      <w:rFonts w:ascii="Arial" w:hAnsi="Arial"/>
      <w:sz w:val="20"/>
      <w:szCs w:val="20"/>
    </w:rPr>
  </w:style>
  <w:style w:type="paragraph" w:styleId="Pedmtkomente">
    <w:name w:val="annotation subject"/>
    <w:basedOn w:val="Textkomente"/>
    <w:next w:val="Textkomente"/>
    <w:link w:val="PedmtkomenteChar"/>
    <w:uiPriority w:val="99"/>
    <w:semiHidden/>
    <w:unhideWhenUsed/>
    <w:rsid w:val="002B3A19"/>
    <w:rPr>
      <w:b/>
      <w:bCs/>
    </w:rPr>
  </w:style>
  <w:style w:type="character" w:customStyle="1" w:styleId="PedmtkomenteChar">
    <w:name w:val="Předmět komentáře Char"/>
    <w:basedOn w:val="TextkomenteChar"/>
    <w:link w:val="Pedmtkomente"/>
    <w:uiPriority w:val="99"/>
    <w:semiHidden/>
    <w:rsid w:val="002B3A19"/>
    <w:rPr>
      <w:rFonts w:ascii="Arial" w:hAnsi="Arial"/>
      <w:b/>
      <w:bCs/>
      <w:sz w:val="20"/>
      <w:szCs w:val="20"/>
    </w:rPr>
  </w:style>
  <w:style w:type="paragraph" w:customStyle="1" w:styleId="Default">
    <w:name w:val="Default"/>
    <w:rsid w:val="00B769C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D3B8F-3C4F-479D-B2FA-7A86C6A43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16</Pages>
  <Words>4795</Words>
  <Characters>28291</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Svoboda Petr</dc:creator>
  <cp:lastModifiedBy>Novák Petr</cp:lastModifiedBy>
  <cp:revision>110</cp:revision>
  <cp:lastPrinted>2020-08-24T10:43:00Z</cp:lastPrinted>
  <dcterms:created xsi:type="dcterms:W3CDTF">2019-12-18T11:50:00Z</dcterms:created>
  <dcterms:modified xsi:type="dcterms:W3CDTF">2020-08-24T10:44:00Z</dcterms:modified>
</cp:coreProperties>
</file>